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203C60E6" w14:textId="77777777" w:rsidR="00523C1E" w:rsidRPr="00CA64E6" w:rsidRDefault="001E2C20" w:rsidP="00CA64E6">
      <w:pPr>
        <w:spacing w:before="200" w:after="80" w:line="360" w:lineRule="auto"/>
        <w:rPr>
          <w:rFonts w:ascii="Arial" w:hAnsi="Arial" w:cs="Arial"/>
        </w:rPr>
      </w:pPr>
      <w:r>
        <w:rPr>
          <w:rFonts w:ascii="Arial" w:hAnsi="Arial" w:cs="Arial"/>
          <w:b/>
          <w:bCs/>
          <w:caps/>
          <w:color w:val="666666"/>
          <w:sz w:val="15"/>
          <w:szCs w:val="15"/>
        </w:rPr>
        <w:t>VEILLE TECHNOLOGIQUE · BTS SIO SLAM · THÈME : BASES DE DONNÉES</w:t>
      </w:r>
    </w:p>
    <w:p w14:paraId="475E15BF" w14:textId="77777777" w:rsidR="00523C1E" w:rsidRPr="00CA64E6" w:rsidRDefault="001E2C20" w:rsidP="00CA64E6">
      <w:pPr>
        <w:spacing w:before="100" w:after="60" w:line="360" w:lineRule="auto"/>
        <w:rPr>
          <w:rFonts w:ascii="Arial" w:hAnsi="Arial" w:cs="Arial"/>
        </w:rPr>
      </w:pPr>
      <w:r>
        <w:rPr>
          <w:rFonts w:ascii="Arial" w:hAnsi="Arial" w:cs="Arial"/>
          <w:b/>
          <w:bCs/>
          <w:sz w:val="44"/>
          <w:szCs w:val="44"/>
        </w:rPr>
        <w:t>Oracle AI Database 26ai</w:t>
      </w:r>
    </w:p>
    <w:p w14:paraId="7F751115" w14:textId="77777777" w:rsidR="00523C1E" w:rsidRPr="00CA64E6" w:rsidRDefault="001E2C20" w:rsidP="00CA64E6">
      <w:pPr>
        <w:spacing w:before="60" w:after="80" w:line="360" w:lineRule="auto"/>
        <w:rPr>
          <w:rFonts w:ascii="Arial" w:hAnsi="Arial" w:cs="Arial"/>
        </w:rPr>
      </w:pPr>
      <w:r>
        <w:rPr>
          <w:rFonts w:ascii="Arial" w:hAnsi="Arial" w:cs="Arial"/>
          <w:b/>
          <w:bCs/>
          <w:color w:val="FF6B00"/>
          <w:sz w:val="26"/>
          <w:szCs w:val="26"/>
        </w:rPr>
        <w:t>— La Base de Données Relationnelle devient IA-Native</w:t>
      </w:r>
    </w:p>
    <w:p w14:paraId="491D4485" w14:textId="77777777" w:rsidR="00523C1E" w:rsidRPr="00CA64E6" w:rsidRDefault="001E2C20" w:rsidP="00CA64E6">
      <w:pPr>
        <w:spacing w:before="40" w:after="60" w:line="360" w:lineRule="auto"/>
        <w:rPr>
          <w:rFonts w:ascii="Arial" w:hAnsi="Arial" w:cs="Arial"/>
        </w:rPr>
      </w:pPr>
      <w:r>
        <w:rPr>
          <w:rFonts w:ascii="Arial" w:hAnsi="Arial" w:cs="Arial"/>
          <w:color w:val="666666"/>
          <w:sz w:val="16"/>
          <w:szCs w:val="16"/>
        </w:rPr>
        <w:t>IA agentique · AI Vector Search · RAG en SQL · Chiffrement quantique · On-Premises</w:t>
      </w:r>
    </w:p>
    <w:p w14:paraId="02DA7FC2" w14:textId="77777777" w:rsidR="00523C1E" w:rsidRPr="00CA64E6" w:rsidRDefault="00523C1E" w:rsidP="00CA64E6">
      <w:pPr>
        <w:pBdr>
          <w:bottom w:val="single" w:sz="8" w:space="1" w:color="FF6B00"/>
        </w:pBdr>
        <w:spacing w:after="120" w:line="360" w:lineRule="auto"/>
        <w:rPr>
          <w:rFonts w:ascii="Arial" w:hAnsi="Arial" w:cs="Arial"/>
        </w:rPr>
      </w:pPr>
    </w:p>
    <w:p w14:paraId="1363D600" w14:textId="77777777" w:rsidR="00523C1E" w:rsidRPr="00CA64E6" w:rsidRDefault="001E2C20" w:rsidP="00CA64E6">
      <w:pPr>
        <w:spacing w:before="60" w:after="120" w:line="360" w:lineRule="auto"/>
        <w:rPr>
          <w:rFonts w:ascii="Arial" w:hAnsi="Arial" w:cs="Arial"/>
        </w:rPr>
      </w:pPr>
      <w:r>
        <w:rPr>
          <w:rFonts w:ascii="Arial" w:hAnsi="Arial" w:cs="Arial"/>
          <w:b/>
          <w:bCs/>
          <w:color w:val="FF6B00"/>
          <w:sz w:val="16"/>
          <w:szCs w:val="16"/>
        </w:rPr>
        <w:t>CANIAUX Romain · 11 Juin 2026</w:t>
      </w:r>
    </w:p>
    <w:p w14:paraId="68B8091D" w14:textId="1866676E" w:rsidR="00523C1E" w:rsidRPr="00CA64E6" w:rsidRDefault="001E2C20" w:rsidP="00CA64E6">
      <w:pPr>
        <w:spacing w:before="60" w:after="80" w:line="360" w:lineRule="auto"/>
        <w:jc w:val="both"/>
        <w:rPr>
          <w:rFonts w:ascii="Arial" w:hAnsi="Arial" w:cs="Arial"/>
        </w:rPr>
      </w:pPr>
      <w:r>
        <w:rPr>
          <w:rFonts w:ascii="Arial" w:hAnsi="Arial" w:cs="Arial"/>
        </w:rPr>
        <w:t>Dans le cadre de mon BTS SIO Option SLAM, je poursuis ma veille sur les Bases de Données. Après les BDD en mémoire, le chiffrement homomorphe et les BDD vectorielles, j’étudie aujourd’hui Oracle AI Database 26ai. La première version LTS (Long-Term Support : version maintenue sur plusieurs années) d’Oracle entièrement conçue pour l’IA, disponible on-premises depuis le 27 janvier 2026. Cette veille répond à une question concrète : comment un SGBD relationnel classique peut-il intégrer l’IA, tout en conservant les garanties ACID (Atomicité, Cohérence, Isolation, Durabilité — les 4 propriétés qui assurent la fiabilité des données) ?</w:t>
      </w:r>
    </w:p>
    <w:p w14:paraId="77429D6F" w14:textId="77777777" w:rsidR="00523C1E" w:rsidRPr="00CA64E6" w:rsidRDefault="001E2C20" w:rsidP="00CA64E6">
      <w:pPr>
        <w:spacing w:before="280" w:after="120" w:line="360" w:lineRule="auto"/>
        <w:rPr>
          <w:rFonts w:ascii="Arial" w:hAnsi="Arial" w:cs="Arial"/>
        </w:rPr>
      </w:pPr>
      <w:r>
        <w:rPr>
          <w:rFonts w:ascii="Arial" w:hAnsi="Arial" w:cs="Arial"/>
          <w:b/>
          <w:bCs/>
          <w:color w:val="FF6B00"/>
          <w:sz w:val="22"/>
          <w:szCs w:val="22"/>
        </w:rPr>
        <w:t>0. MÉTHODOLOGIE DE VEILLE</w:t>
      </w:r>
    </w:p>
    <w:p w14:paraId="519EADD9" w14:textId="77777777" w:rsidR="00523C1E" w:rsidRPr="00CA64E6" w:rsidRDefault="001E2C20" w:rsidP="00CA64E6">
      <w:pPr>
        <w:spacing w:before="60" w:after="80" w:line="360" w:lineRule="auto"/>
        <w:jc w:val="both"/>
        <w:rPr>
          <w:rFonts w:ascii="Arial" w:hAnsi="Arial" w:cs="Arial"/>
        </w:rPr>
      </w:pPr>
      <w:r>
        <w:rPr>
          <w:rFonts w:ascii="Arial" w:hAnsi="Arial" w:cs="Arial"/>
        </w:rPr>
        <w:t>Comment j'ai trouvé ces informations : Pour cette veille, j'ai défini des mots-clés ciblés : "Oracle 26ai", "Oracle AI Database on-premises 2026", "AI Vector Search SQL", "agentic AI database". J'ai croisé les sources officielles Oracle avec des analyses indépendantes pour distinguer communication marketing et réalité technique.</w:t>
      </w:r>
    </w:p>
    <w:p w14:paraId="4F8047B5" w14:textId="77777777" w:rsidR="00523C1E" w:rsidRPr="00CA64E6" w:rsidRDefault="00523C1E" w:rsidP="00CA64E6">
      <w:pPr>
        <w:spacing w:after="80" w:line="360" w:lineRule="auto"/>
        <w:rPr>
          <w:rFonts w:ascii="Arial" w:hAnsi="Arial" w:cs="Arial"/>
        </w:rPr>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5000"/>
        <w:gridCol w:w="1826"/>
      </w:tblGrid>
      <w:tr w:rsidR="00523C1E" w:rsidRPr="00CA64E6" w14:paraId="145BFF16" w14:textId="77777777">
        <w:tc>
          <w:tcPr>
            <w:tcW w:w="2200" w:type="dxa"/>
            <w:tcBorders>
              <w:top w:val="single" w:sz="4" w:space="0" w:color="CCCCCC"/>
              <w:left w:val="single" w:sz="4" w:space="0" w:color="CCCCCC"/>
              <w:bottom w:val="single" w:sz="4" w:space="0" w:color="CCCCCC"/>
              <w:right w:val="single" w:sz="4" w:space="0" w:color="CCCCCC"/>
            </w:tcBorders>
            <w:shd w:val="clear" w:color="auto" w:fill="D9D9D9"/>
            <w:tcMar>
              <w:top w:w="80" w:type="dxa"/>
              <w:left w:w="120" w:type="dxa"/>
              <w:bottom w:w="80" w:type="dxa"/>
              <w:right w:w="120" w:type="dxa"/>
            </w:tcMar>
          </w:tcPr>
          <w:p w14:paraId="074BB77C" w14:textId="77777777" w:rsidR="00523C1E" w:rsidRPr="00CA64E6" w:rsidRDefault="001E2C20" w:rsidP="00CA64E6">
            <w:pPr>
              <w:spacing w:line="360" w:lineRule="auto"/>
              <w:rPr>
                <w:rFonts w:ascii="Arial" w:hAnsi="Arial" w:cs="Arial"/>
              </w:rPr>
            </w:pPr>
            <w:r>
              <w:rPr>
                <w:rFonts w:ascii="Arial" w:hAnsi="Arial" w:cs="Arial"/>
                <w:b/>
                <w:bCs/>
                <w:sz w:val="16"/>
                <w:szCs w:val="16"/>
              </w:rPr>
              <w:t>Outil</w:t>
            </w:r>
          </w:p>
        </w:tc>
        <w:tc>
          <w:tcPr>
            <w:tcW w:w="5000" w:type="dxa"/>
            <w:tcBorders>
              <w:top w:val="single" w:sz="4" w:space="0" w:color="CCCCCC"/>
              <w:left w:val="single" w:sz="4" w:space="0" w:color="CCCCCC"/>
              <w:bottom w:val="single" w:sz="4" w:space="0" w:color="CCCCCC"/>
              <w:right w:val="single" w:sz="4" w:space="0" w:color="CCCCCC"/>
            </w:tcBorders>
            <w:shd w:val="clear" w:color="auto" w:fill="D9D9D9"/>
            <w:tcMar>
              <w:top w:w="80" w:type="dxa"/>
              <w:left w:w="120" w:type="dxa"/>
              <w:bottom w:w="80" w:type="dxa"/>
              <w:right w:w="120" w:type="dxa"/>
            </w:tcMar>
          </w:tcPr>
          <w:p w14:paraId="7ECAC385" w14:textId="77777777" w:rsidR="00523C1E" w:rsidRPr="00CA64E6" w:rsidRDefault="001E2C20" w:rsidP="00CA64E6">
            <w:pPr>
              <w:spacing w:line="360" w:lineRule="auto"/>
              <w:rPr>
                <w:rFonts w:ascii="Arial" w:hAnsi="Arial" w:cs="Arial"/>
              </w:rPr>
            </w:pPr>
            <w:r>
              <w:rPr>
                <w:rFonts w:ascii="Arial" w:hAnsi="Arial" w:cs="Arial"/>
                <w:b/>
                <w:bCs/>
                <w:sz w:val="16"/>
                <w:szCs w:val="16"/>
              </w:rPr>
              <w:t>Usage</w:t>
            </w:r>
          </w:p>
        </w:tc>
        <w:tc>
          <w:tcPr>
            <w:tcW w:w="1826" w:type="dxa"/>
            <w:tcBorders>
              <w:top w:val="single" w:sz="4" w:space="0" w:color="CCCCCC"/>
              <w:left w:val="single" w:sz="4" w:space="0" w:color="CCCCCC"/>
              <w:bottom w:val="single" w:sz="4" w:space="0" w:color="CCCCCC"/>
              <w:right w:val="single" w:sz="4" w:space="0" w:color="CCCCCC"/>
            </w:tcBorders>
            <w:shd w:val="clear" w:color="auto" w:fill="D9D9D9"/>
            <w:tcMar>
              <w:top w:w="80" w:type="dxa"/>
              <w:left w:w="120" w:type="dxa"/>
              <w:bottom w:w="80" w:type="dxa"/>
              <w:right w:w="120" w:type="dxa"/>
            </w:tcMar>
          </w:tcPr>
          <w:p w14:paraId="43BBBD5A" w14:textId="77777777" w:rsidR="00523C1E" w:rsidRPr="00CA64E6" w:rsidRDefault="001E2C20" w:rsidP="00CA64E6">
            <w:pPr>
              <w:spacing w:line="360" w:lineRule="auto"/>
              <w:rPr>
                <w:rFonts w:ascii="Arial" w:hAnsi="Arial" w:cs="Arial"/>
              </w:rPr>
            </w:pPr>
            <w:r>
              <w:rPr>
                <w:rFonts w:ascii="Arial" w:hAnsi="Arial" w:cs="Arial"/>
                <w:b/>
                <w:bCs/>
                <w:sz w:val="16"/>
                <w:szCs w:val="16"/>
              </w:rPr>
              <w:t>Fréquence / rôle</w:t>
            </w:r>
          </w:p>
        </w:tc>
      </w:tr>
      <w:tr w:rsidR="00523C1E" w:rsidRPr="00CA64E6" w14:paraId="291B0055" w14:textId="77777777">
        <w:tc>
          <w:tcPr>
            <w:tcW w:w="2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2855BD38" w14:textId="77777777" w:rsidR="00523C1E" w:rsidRPr="00CA64E6" w:rsidRDefault="001E2C20" w:rsidP="00CA64E6">
            <w:pPr>
              <w:spacing w:line="360" w:lineRule="auto"/>
              <w:rPr>
                <w:rFonts w:ascii="Arial" w:hAnsi="Arial" w:cs="Arial"/>
              </w:rPr>
            </w:pPr>
            <w:r>
              <w:rPr>
                <w:rFonts w:ascii="Arial" w:hAnsi="Arial" w:cs="Arial"/>
                <w:sz w:val="15"/>
                <w:szCs w:val="15"/>
              </w:rPr>
              <w:t>Google Alerts</w:t>
            </w:r>
          </w:p>
        </w:tc>
        <w:tc>
          <w:tcPr>
            <w:tcW w:w="5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7C48D918" w14:textId="77777777" w:rsidR="00523C1E" w:rsidRPr="00CA64E6" w:rsidRDefault="001E2C20" w:rsidP="00CA64E6">
            <w:pPr>
              <w:spacing w:line="360" w:lineRule="auto"/>
              <w:rPr>
                <w:rFonts w:ascii="Arial" w:hAnsi="Arial" w:cs="Arial"/>
              </w:rPr>
            </w:pPr>
            <w:r>
              <w:rPr>
                <w:rFonts w:ascii="Arial" w:hAnsi="Arial" w:cs="Arial"/>
                <w:sz w:val="15"/>
                <w:szCs w:val="15"/>
              </w:rPr>
              <w:t>Alertes automatiques : "Oracle 26ai", "Oracle AI Database 2026"</w:t>
            </w:r>
          </w:p>
        </w:tc>
        <w:tc>
          <w:tcPr>
            <w:tcW w:w="182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1BD6010" w14:textId="77777777" w:rsidR="00523C1E" w:rsidRPr="00CA64E6" w:rsidRDefault="001E2C20" w:rsidP="00CA64E6">
            <w:pPr>
              <w:spacing w:line="360" w:lineRule="auto"/>
              <w:rPr>
                <w:rFonts w:ascii="Arial" w:hAnsi="Arial" w:cs="Arial"/>
              </w:rPr>
            </w:pPr>
            <w:r>
              <w:rPr>
                <w:rFonts w:ascii="Arial" w:hAnsi="Arial" w:cs="Arial"/>
                <w:sz w:val="15"/>
                <w:szCs w:val="15"/>
              </w:rPr>
              <w:t>Surveillance continue</w:t>
            </w:r>
          </w:p>
        </w:tc>
      </w:tr>
      <w:tr w:rsidR="00523C1E" w:rsidRPr="00CA64E6" w14:paraId="36F5AECC" w14:textId="77777777">
        <w:tc>
          <w:tcPr>
            <w:tcW w:w="2200" w:type="dxa"/>
            <w:tcBorders>
              <w:top w:val="single" w:sz="4" w:space="0" w:color="CCCCCC"/>
              <w:left w:val="single" w:sz="4" w:space="0" w:color="CCCCCC"/>
              <w:bottom w:val="single" w:sz="4" w:space="0" w:color="CCCCCC"/>
              <w:right w:val="single" w:sz="4" w:space="0" w:color="CCCCCC"/>
            </w:tcBorders>
            <w:shd w:val="clear" w:color="auto" w:fill="EDEDED"/>
            <w:tcMar>
              <w:top w:w="80" w:type="dxa"/>
              <w:left w:w="120" w:type="dxa"/>
              <w:bottom w:w="80" w:type="dxa"/>
              <w:right w:w="120" w:type="dxa"/>
            </w:tcMar>
          </w:tcPr>
          <w:p w14:paraId="0BE89167" w14:textId="77777777" w:rsidR="00523C1E" w:rsidRPr="00CA64E6" w:rsidRDefault="001E2C20" w:rsidP="00CA64E6">
            <w:pPr>
              <w:spacing w:line="360" w:lineRule="auto"/>
              <w:rPr>
                <w:rFonts w:ascii="Arial" w:hAnsi="Arial" w:cs="Arial"/>
              </w:rPr>
            </w:pPr>
            <w:r>
              <w:rPr>
                <w:rFonts w:ascii="Arial" w:hAnsi="Arial" w:cs="Arial"/>
                <w:sz w:val="15"/>
                <w:szCs w:val="15"/>
              </w:rPr>
              <w:t>Oracle Blogs officiels</w:t>
            </w:r>
          </w:p>
        </w:tc>
        <w:tc>
          <w:tcPr>
            <w:tcW w:w="5000" w:type="dxa"/>
            <w:tcBorders>
              <w:top w:val="single" w:sz="4" w:space="0" w:color="CCCCCC"/>
              <w:left w:val="single" w:sz="4" w:space="0" w:color="CCCCCC"/>
              <w:bottom w:val="single" w:sz="4" w:space="0" w:color="CCCCCC"/>
              <w:right w:val="single" w:sz="4" w:space="0" w:color="CCCCCC"/>
            </w:tcBorders>
            <w:shd w:val="clear" w:color="auto" w:fill="EDEDED"/>
            <w:tcMar>
              <w:top w:w="80" w:type="dxa"/>
              <w:left w:w="120" w:type="dxa"/>
              <w:bottom w:w="80" w:type="dxa"/>
              <w:right w:w="120" w:type="dxa"/>
            </w:tcMar>
          </w:tcPr>
          <w:p w14:paraId="741ECBB2" w14:textId="77777777" w:rsidR="00523C1E" w:rsidRPr="00CA64E6" w:rsidRDefault="001E2C20" w:rsidP="00CA64E6">
            <w:pPr>
              <w:spacing w:line="360" w:lineRule="auto"/>
              <w:rPr>
                <w:rFonts w:ascii="Arial" w:hAnsi="Arial" w:cs="Arial"/>
              </w:rPr>
            </w:pPr>
            <w:r>
              <w:rPr>
                <w:rFonts w:ascii="Arial" w:hAnsi="Arial" w:cs="Arial"/>
                <w:sz w:val="15"/>
                <w:szCs w:val="15"/>
              </w:rPr>
              <w:t>blogs.oracle.com/database — annonces de disponibilité générale (GA) et nouveautés</w:t>
            </w:r>
          </w:p>
        </w:tc>
        <w:tc>
          <w:tcPr>
            <w:tcW w:w="1826" w:type="dxa"/>
            <w:tcBorders>
              <w:top w:val="single" w:sz="4" w:space="0" w:color="CCCCCC"/>
              <w:left w:val="single" w:sz="4" w:space="0" w:color="CCCCCC"/>
              <w:bottom w:val="single" w:sz="4" w:space="0" w:color="CCCCCC"/>
              <w:right w:val="single" w:sz="4" w:space="0" w:color="CCCCCC"/>
            </w:tcBorders>
            <w:shd w:val="clear" w:color="auto" w:fill="EDEDED"/>
            <w:tcMar>
              <w:top w:w="80" w:type="dxa"/>
              <w:left w:w="120" w:type="dxa"/>
              <w:bottom w:w="80" w:type="dxa"/>
              <w:right w:w="120" w:type="dxa"/>
            </w:tcMar>
          </w:tcPr>
          <w:p w14:paraId="5C795D1B" w14:textId="77777777" w:rsidR="00523C1E" w:rsidRPr="00CA64E6" w:rsidRDefault="001E2C20" w:rsidP="00CA64E6">
            <w:pPr>
              <w:spacing w:line="360" w:lineRule="auto"/>
              <w:rPr>
                <w:rFonts w:ascii="Arial" w:hAnsi="Arial" w:cs="Arial"/>
              </w:rPr>
            </w:pPr>
            <w:r>
              <w:rPr>
                <w:rFonts w:ascii="Arial" w:hAnsi="Arial" w:cs="Arial"/>
                <w:sz w:val="15"/>
                <w:szCs w:val="15"/>
              </w:rPr>
              <w:t>Source primaire</w:t>
            </w:r>
          </w:p>
        </w:tc>
      </w:tr>
      <w:tr w:rsidR="00523C1E" w:rsidRPr="00CA64E6" w14:paraId="1D2E5CF6" w14:textId="77777777">
        <w:tc>
          <w:tcPr>
            <w:tcW w:w="2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A3FA7B9" w14:textId="77777777" w:rsidR="00523C1E" w:rsidRPr="00CA64E6" w:rsidRDefault="001E2C20" w:rsidP="00CA64E6">
            <w:pPr>
              <w:spacing w:line="360" w:lineRule="auto"/>
              <w:rPr>
                <w:rFonts w:ascii="Arial" w:hAnsi="Arial" w:cs="Arial"/>
              </w:rPr>
            </w:pPr>
            <w:r>
              <w:rPr>
                <w:rFonts w:ascii="Arial" w:hAnsi="Arial" w:cs="Arial"/>
                <w:sz w:val="15"/>
                <w:szCs w:val="15"/>
              </w:rPr>
              <w:t>InfoQ / DBTA</w:t>
            </w:r>
          </w:p>
        </w:tc>
        <w:tc>
          <w:tcPr>
            <w:tcW w:w="5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47120EFE" w14:textId="77777777" w:rsidR="00523C1E" w:rsidRPr="00CA64E6" w:rsidRDefault="001E2C20" w:rsidP="00CA64E6">
            <w:pPr>
              <w:spacing w:line="360" w:lineRule="auto"/>
              <w:rPr>
                <w:rFonts w:ascii="Arial" w:hAnsi="Arial" w:cs="Arial"/>
              </w:rPr>
            </w:pPr>
            <w:r>
              <w:rPr>
                <w:rFonts w:ascii="Arial" w:hAnsi="Arial" w:cs="Arial"/>
                <w:sz w:val="15"/>
                <w:szCs w:val="15"/>
              </w:rPr>
              <w:t>Analyses indépendantes sur les releases Oracle</w:t>
            </w:r>
          </w:p>
        </w:tc>
        <w:tc>
          <w:tcPr>
            <w:tcW w:w="182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AD5F540" w14:textId="77777777" w:rsidR="00523C1E" w:rsidRPr="00CA64E6" w:rsidRDefault="001E2C20" w:rsidP="00CA64E6">
            <w:pPr>
              <w:spacing w:line="360" w:lineRule="auto"/>
              <w:rPr>
                <w:rFonts w:ascii="Arial" w:hAnsi="Arial" w:cs="Arial"/>
              </w:rPr>
            </w:pPr>
            <w:r>
              <w:rPr>
                <w:rFonts w:ascii="Arial" w:hAnsi="Arial" w:cs="Arial"/>
                <w:sz w:val="15"/>
                <w:szCs w:val="15"/>
              </w:rPr>
              <w:t>Vérification croisée</w:t>
            </w:r>
          </w:p>
        </w:tc>
      </w:tr>
      <w:tr w:rsidR="00523C1E" w:rsidRPr="00CA64E6" w14:paraId="4C59766B" w14:textId="77777777">
        <w:tc>
          <w:tcPr>
            <w:tcW w:w="2200" w:type="dxa"/>
            <w:tcBorders>
              <w:top w:val="single" w:sz="4" w:space="0" w:color="CCCCCC"/>
              <w:left w:val="single" w:sz="4" w:space="0" w:color="CCCCCC"/>
              <w:bottom w:val="single" w:sz="4" w:space="0" w:color="CCCCCC"/>
              <w:right w:val="single" w:sz="4" w:space="0" w:color="CCCCCC"/>
            </w:tcBorders>
            <w:shd w:val="clear" w:color="auto" w:fill="EDEDED"/>
            <w:tcMar>
              <w:top w:w="80" w:type="dxa"/>
              <w:left w:w="120" w:type="dxa"/>
              <w:bottom w:w="80" w:type="dxa"/>
              <w:right w:w="120" w:type="dxa"/>
            </w:tcMar>
          </w:tcPr>
          <w:p w14:paraId="16B11280" w14:textId="77777777" w:rsidR="00523C1E" w:rsidRPr="00CA64E6" w:rsidRDefault="001E2C20" w:rsidP="00CA64E6">
            <w:pPr>
              <w:spacing w:line="360" w:lineRule="auto"/>
              <w:rPr>
                <w:rFonts w:ascii="Arial" w:hAnsi="Arial" w:cs="Arial"/>
              </w:rPr>
            </w:pPr>
            <w:r>
              <w:rPr>
                <w:rFonts w:ascii="Arial" w:hAnsi="Arial" w:cs="Arial"/>
                <w:sz w:val="15"/>
                <w:szCs w:val="15"/>
              </w:rPr>
              <w:t>LinkedIn / X</w:t>
            </w:r>
          </w:p>
        </w:tc>
        <w:tc>
          <w:tcPr>
            <w:tcW w:w="5000" w:type="dxa"/>
            <w:tcBorders>
              <w:top w:val="single" w:sz="4" w:space="0" w:color="CCCCCC"/>
              <w:left w:val="single" w:sz="4" w:space="0" w:color="CCCCCC"/>
              <w:bottom w:val="single" w:sz="4" w:space="0" w:color="CCCCCC"/>
              <w:right w:val="single" w:sz="4" w:space="0" w:color="CCCCCC"/>
            </w:tcBorders>
            <w:shd w:val="clear" w:color="auto" w:fill="EDEDED"/>
            <w:tcMar>
              <w:top w:w="80" w:type="dxa"/>
              <w:left w:w="120" w:type="dxa"/>
              <w:bottom w:w="80" w:type="dxa"/>
              <w:right w:w="120" w:type="dxa"/>
            </w:tcMar>
          </w:tcPr>
          <w:p w14:paraId="221F76C4" w14:textId="77777777" w:rsidR="00523C1E" w:rsidRPr="00CA64E6" w:rsidRDefault="001E2C20" w:rsidP="00CA64E6">
            <w:pPr>
              <w:spacing w:line="360" w:lineRule="auto"/>
              <w:rPr>
                <w:rFonts w:ascii="Arial" w:hAnsi="Arial" w:cs="Arial"/>
              </w:rPr>
            </w:pPr>
            <w:r>
              <w:rPr>
                <w:rFonts w:ascii="Arial" w:hAnsi="Arial" w:cs="Arial"/>
                <w:sz w:val="15"/>
                <w:szCs w:val="15"/>
              </w:rPr>
              <w:t>Suivi de DBAs Oracle, architectes SI, communauté Oracle</w:t>
            </w:r>
          </w:p>
        </w:tc>
        <w:tc>
          <w:tcPr>
            <w:tcW w:w="1826" w:type="dxa"/>
            <w:tcBorders>
              <w:top w:val="single" w:sz="4" w:space="0" w:color="CCCCCC"/>
              <w:left w:val="single" w:sz="4" w:space="0" w:color="CCCCCC"/>
              <w:bottom w:val="single" w:sz="4" w:space="0" w:color="CCCCCC"/>
              <w:right w:val="single" w:sz="4" w:space="0" w:color="CCCCCC"/>
            </w:tcBorders>
            <w:shd w:val="clear" w:color="auto" w:fill="EDEDED"/>
            <w:tcMar>
              <w:top w:w="80" w:type="dxa"/>
              <w:left w:w="120" w:type="dxa"/>
              <w:bottom w:w="80" w:type="dxa"/>
              <w:right w:w="120" w:type="dxa"/>
            </w:tcMar>
          </w:tcPr>
          <w:p w14:paraId="2C1C14DF" w14:textId="77777777" w:rsidR="00523C1E" w:rsidRPr="00CA64E6" w:rsidRDefault="001E2C20" w:rsidP="00CA64E6">
            <w:pPr>
              <w:spacing w:line="360" w:lineRule="auto"/>
              <w:rPr>
                <w:rFonts w:ascii="Arial" w:hAnsi="Arial" w:cs="Arial"/>
              </w:rPr>
            </w:pPr>
            <w:r>
              <w:rPr>
                <w:rFonts w:ascii="Arial" w:hAnsi="Arial" w:cs="Arial"/>
                <w:sz w:val="15"/>
                <w:szCs w:val="15"/>
              </w:rPr>
              <w:t>Tendances terrain</w:t>
            </w:r>
          </w:p>
        </w:tc>
      </w:tr>
      <w:tr w:rsidR="00523C1E" w:rsidRPr="00CA64E6" w14:paraId="152DC9E8" w14:textId="77777777">
        <w:tc>
          <w:tcPr>
            <w:tcW w:w="2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F20C4AF" w14:textId="77777777" w:rsidR="00523C1E" w:rsidRPr="00CA64E6" w:rsidRDefault="001E2C20" w:rsidP="00CA64E6">
            <w:pPr>
              <w:spacing w:line="360" w:lineRule="auto"/>
              <w:rPr>
                <w:rFonts w:ascii="Arial" w:hAnsi="Arial" w:cs="Arial"/>
              </w:rPr>
            </w:pPr>
            <w:r>
              <w:rPr>
                <w:rFonts w:ascii="Arial" w:hAnsi="Arial" w:cs="Arial"/>
                <w:sz w:val="15"/>
                <w:szCs w:val="15"/>
              </w:rPr>
              <w:t>Docs officielles Oracle</w:t>
            </w:r>
          </w:p>
        </w:tc>
        <w:tc>
          <w:tcPr>
            <w:tcW w:w="5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472630EF" w14:textId="77777777" w:rsidR="00523C1E" w:rsidRPr="00CA64E6" w:rsidRDefault="001E2C20" w:rsidP="00CA64E6">
            <w:pPr>
              <w:spacing w:line="360" w:lineRule="auto"/>
              <w:rPr>
                <w:rFonts w:ascii="Arial" w:hAnsi="Arial" w:cs="Arial"/>
              </w:rPr>
            </w:pPr>
            <w:r>
              <w:rPr>
                <w:rFonts w:ascii="Arial" w:hAnsi="Arial" w:cs="Arial"/>
                <w:sz w:val="15"/>
                <w:szCs w:val="15"/>
              </w:rPr>
              <w:t>docs.oracle.com — New Features Guide 26ai (mai 2026)</w:t>
            </w:r>
          </w:p>
        </w:tc>
        <w:tc>
          <w:tcPr>
            <w:tcW w:w="182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F3025FB" w14:textId="77777777" w:rsidR="00523C1E" w:rsidRPr="00CA64E6" w:rsidRDefault="001E2C20" w:rsidP="00CA64E6">
            <w:pPr>
              <w:spacing w:line="360" w:lineRule="auto"/>
              <w:rPr>
                <w:rFonts w:ascii="Arial" w:hAnsi="Arial" w:cs="Arial"/>
              </w:rPr>
            </w:pPr>
            <w:r>
              <w:rPr>
                <w:rFonts w:ascii="Arial" w:hAnsi="Arial" w:cs="Arial"/>
                <w:sz w:val="15"/>
                <w:szCs w:val="15"/>
              </w:rPr>
              <w:t>Fiabilité technique</w:t>
            </w:r>
          </w:p>
        </w:tc>
      </w:tr>
    </w:tbl>
    <w:p w14:paraId="530AFB42" w14:textId="77777777" w:rsidR="00CA64E6" w:rsidRPr="00CA64E6" w:rsidRDefault="00CA64E6" w:rsidP="00CA64E6">
      <w:pPr>
        <w:spacing w:before="60" w:after="80" w:line="360" w:lineRule="auto"/>
        <w:jc w:val="both"/>
        <w:rPr>
          <w:rFonts w:ascii="Arial" w:hAnsi="Arial" w:cs="Arial"/>
        </w:rPr>
      </w:pPr>
    </w:p>
    <w:p w14:paraId="6B13DF89" w14:textId="5BCFEEDA" w:rsidR="00523C1E" w:rsidRPr="00CA64E6" w:rsidRDefault="001E2C20" w:rsidP="00CA64E6">
      <w:pPr>
        <w:spacing w:before="60" w:after="80" w:line="360" w:lineRule="auto"/>
        <w:jc w:val="both"/>
        <w:rPr>
          <w:rFonts w:ascii="Arial" w:hAnsi="Arial" w:cs="Arial"/>
        </w:rPr>
      </w:pPr>
      <w:r>
        <w:rPr>
          <w:rFonts w:ascii="Arial" w:hAnsi="Arial" w:cs="Arial"/>
        </w:rPr>
        <w:t>Critères de sélection des sources : J’ai conservé uniquement les articles et documents publiés après le 27 janvier 2026 (date de disponibilité générale, ou GA — General Availability — on-premises), rédigés par des acteurs reconnus (Oracle Corporation, éditeurs spécialisés IT, architectes certifiés Oracle). J’ai écarté les contenus sans date précise et les analyses purement commerciales.</w:t>
      </w:r>
    </w:p>
    <w:p w14:paraId="74738234" w14:textId="77777777" w:rsidR="00523C1E" w:rsidRPr="00CA64E6" w:rsidRDefault="00523C1E" w:rsidP="00CA64E6">
      <w:pPr>
        <w:spacing w:after="120" w:line="360" w:lineRule="auto"/>
        <w:rPr>
          <w:rFonts w:ascii="Arial" w:hAnsi="Arial" w:cs="Arial"/>
        </w:rPr>
      </w:pPr>
    </w:p>
    <w:p w14:paraId="0E56F343" w14:textId="77777777" w:rsidR="00523C1E" w:rsidRPr="00CA64E6" w:rsidRDefault="001E2C20" w:rsidP="00CA64E6">
      <w:pPr>
        <w:spacing w:before="280" w:after="120" w:line="360" w:lineRule="auto"/>
        <w:rPr>
          <w:rFonts w:ascii="Arial" w:hAnsi="Arial" w:cs="Arial"/>
        </w:rPr>
      </w:pPr>
      <w:r>
        <w:rPr>
          <w:rFonts w:ascii="Arial" w:hAnsi="Arial" w:cs="Arial"/>
          <w:b/>
          <w:bCs/>
          <w:color w:val="FF6B00"/>
          <w:sz w:val="22"/>
          <w:szCs w:val="22"/>
        </w:rPr>
        <w:t>1. PRÉSENTATION DU SUJET</w:t>
      </w:r>
    </w:p>
    <w:p w14:paraId="38BF1A3F" w14:textId="77777777" w:rsidR="00523C1E" w:rsidRPr="00CA64E6" w:rsidRDefault="001E2C20" w:rsidP="00CA64E6">
      <w:pPr>
        <w:spacing w:before="280" w:after="120" w:line="360" w:lineRule="auto"/>
        <w:rPr>
          <w:rFonts w:ascii="Arial" w:hAnsi="Arial" w:cs="Arial"/>
        </w:rPr>
      </w:pPr>
      <w:r>
        <w:rPr>
          <w:rFonts w:ascii="Arial" w:hAnsi="Arial" w:cs="Arial"/>
          <w:b/>
          <w:bCs/>
          <w:sz w:val="18"/>
          <w:szCs w:val="18"/>
        </w:rPr>
        <w:t>Pourquoi ce sujet ?</w:t>
      </w:r>
    </w:p>
    <w:p w14:paraId="165EB29D" w14:textId="77777777" w:rsidR="00523C1E" w:rsidRPr="00CA64E6" w:rsidRDefault="001E2C20" w:rsidP="00CA64E6">
      <w:pPr>
        <w:spacing w:before="60" w:after="80" w:line="360" w:lineRule="auto"/>
        <w:jc w:val="both"/>
        <w:rPr>
          <w:rFonts w:ascii="Arial" w:hAnsi="Arial" w:cs="Arial"/>
        </w:rPr>
      </w:pPr>
      <w:r>
        <w:rPr>
          <w:rFonts w:ascii="Arial" w:hAnsi="Arial" w:cs="Arial"/>
        </w:rPr>
        <w:t>En étudiant les BDD vectorielles (veille n°3), j'avais vu que pgvector permettait d'intégrer de la recherche sémantique dans PostgreSQL sans changer d'infrastructure. Oracle 26ai va beaucoup plus loin : il intègre directement le stockage vectoriel, et inclut aussi des agents IA dans le moteur de base de données, capables de lancer des tâches IA en SQL standard. La question qui m'a motivé : peut-on vraiment faire de l'IA agentique depuis un SGBD relationnel classique ?</w:t>
      </w:r>
    </w:p>
    <w:p w14:paraId="6853899C" w14:textId="77777777" w:rsidR="00CA64E6" w:rsidRDefault="00CA64E6" w:rsidP="00CA64E6">
      <w:pPr>
        <w:spacing w:before="60" w:after="80" w:line="360" w:lineRule="auto"/>
        <w:jc w:val="both"/>
        <w:rPr>
          <w:rFonts w:ascii="Arial" w:hAnsi="Arial" w:cs="Arial"/>
        </w:rPr>
      </w:pPr>
    </w:p>
    <w:p w14:paraId="7DAF18E6" w14:textId="77777777" w:rsidR="00CA64E6" w:rsidRPr="00CA64E6" w:rsidRDefault="00CA64E6" w:rsidP="00CA64E6">
      <w:pPr>
        <w:spacing w:before="60" w:after="80" w:line="360" w:lineRule="auto"/>
        <w:jc w:val="both"/>
        <w:rPr>
          <w:rFonts w:ascii="Arial" w:hAnsi="Arial" w:cs="Arial"/>
        </w:rPr>
      </w:pPr>
    </w:p>
    <w:p w14:paraId="49F6EEB3" w14:textId="77777777" w:rsidR="00523C1E" w:rsidRPr="00CA64E6" w:rsidRDefault="001E2C20" w:rsidP="00CA64E6">
      <w:pPr>
        <w:spacing w:before="280" w:after="120" w:line="360" w:lineRule="auto"/>
        <w:rPr>
          <w:rFonts w:ascii="Arial" w:hAnsi="Arial" w:cs="Arial"/>
        </w:rPr>
      </w:pPr>
      <w:r>
        <w:rPr>
          <w:rFonts w:ascii="Arial" w:hAnsi="Arial" w:cs="Arial"/>
          <w:b/>
          <w:bCs/>
          <w:sz w:val="18"/>
          <w:szCs w:val="18"/>
        </w:rPr>
        <w:lastRenderedPageBreak/>
        <w:t>Qu'est-ce qu'Oracle AI Database 26ai ?</w:t>
      </w:r>
    </w:p>
    <w:p w14:paraId="213035AD" w14:textId="77777777" w:rsidR="00523C1E" w:rsidRPr="00CA64E6" w:rsidRDefault="001E2C20" w:rsidP="00CA64E6">
      <w:pPr>
        <w:spacing w:before="60" w:after="80" w:line="360" w:lineRule="auto"/>
        <w:jc w:val="both"/>
        <w:rPr>
          <w:rFonts w:ascii="Arial" w:hAnsi="Arial" w:cs="Arial"/>
        </w:rPr>
      </w:pPr>
      <w:r>
        <w:rPr>
          <w:rFonts w:ascii="Arial" w:hAnsi="Arial" w:cs="Arial"/>
        </w:rPr>
        <w:t>Oracle AI Database 26ai est la version LTS (Long-Term Support : version stable maintenue sur plusieurs années) suivant Oracle Database 19c. Anciennement connue sous le nom "Oracle Database 23ai", elle a été renommée 26ai lors de son annonce en octobre 2025 pour signifier deux ans de maturité cloud intégrés. Elle est devenue disponible on-premises le 27 janvier 2026 pour Linux x86-64 (version 23.26.1). C’est une base de données multi-modèles : elle gère à la fois des données relationnelles, JSON, vectorielles, graphe et spatiales dans un seul moteur.</w:t>
      </w:r>
    </w:p>
    <w:p w14:paraId="5187EFDC" w14:textId="77777777" w:rsidR="00523C1E" w:rsidRPr="00CA64E6" w:rsidRDefault="00523C1E" w:rsidP="00CA64E6">
      <w:pPr>
        <w:spacing w:after="80" w:line="360" w:lineRule="auto"/>
        <w:rPr>
          <w:rFonts w:ascii="Arial" w:hAnsi="Arial" w:cs="Arial"/>
        </w:rPr>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600"/>
        <w:gridCol w:w="3826"/>
        <w:gridCol w:w="2600"/>
      </w:tblGrid>
      <w:tr w:rsidR="00523C1E" w:rsidRPr="00CA64E6" w14:paraId="7DAEDE0B" w14:textId="77777777">
        <w:tc>
          <w:tcPr>
            <w:tcW w:w="2600" w:type="dxa"/>
            <w:tcBorders>
              <w:top w:val="single" w:sz="4" w:space="0" w:color="CCCCCC"/>
              <w:left w:val="single" w:sz="4" w:space="0" w:color="CCCCCC"/>
              <w:bottom w:val="single" w:sz="4" w:space="0" w:color="CCCCCC"/>
              <w:right w:val="single" w:sz="4" w:space="0" w:color="CCCCCC"/>
            </w:tcBorders>
            <w:shd w:val="clear" w:color="auto" w:fill="D9D9D9"/>
            <w:tcMar>
              <w:top w:w="80" w:type="dxa"/>
              <w:left w:w="120" w:type="dxa"/>
              <w:bottom w:w="80" w:type="dxa"/>
              <w:right w:w="120" w:type="dxa"/>
            </w:tcMar>
          </w:tcPr>
          <w:p w14:paraId="6709A5BC" w14:textId="77777777" w:rsidR="00523C1E" w:rsidRPr="00CA64E6" w:rsidRDefault="001E2C20" w:rsidP="00CA64E6">
            <w:pPr>
              <w:spacing w:line="360" w:lineRule="auto"/>
              <w:rPr>
                <w:rFonts w:ascii="Arial" w:hAnsi="Arial" w:cs="Arial"/>
              </w:rPr>
            </w:pPr>
            <w:r>
              <w:rPr>
                <w:rFonts w:ascii="Arial" w:hAnsi="Arial" w:cs="Arial"/>
                <w:b/>
                <w:bCs/>
                <w:sz w:val="16"/>
                <w:szCs w:val="16"/>
              </w:rPr>
              <w:t>APPLICATION ORACLE 26ai</w:t>
            </w:r>
          </w:p>
        </w:tc>
        <w:tc>
          <w:tcPr>
            <w:tcW w:w="3826" w:type="dxa"/>
            <w:tcBorders>
              <w:top w:val="single" w:sz="4" w:space="0" w:color="CCCCCC"/>
              <w:left w:val="single" w:sz="4" w:space="0" w:color="CCCCCC"/>
              <w:bottom w:val="single" w:sz="4" w:space="0" w:color="CCCCCC"/>
              <w:right w:val="single" w:sz="4" w:space="0" w:color="CCCCCC"/>
            </w:tcBorders>
            <w:shd w:val="clear" w:color="auto" w:fill="D9D9D9"/>
            <w:tcMar>
              <w:top w:w="80" w:type="dxa"/>
              <w:left w:w="120" w:type="dxa"/>
              <w:bottom w:w="80" w:type="dxa"/>
              <w:right w:w="120" w:type="dxa"/>
            </w:tcMar>
          </w:tcPr>
          <w:p w14:paraId="7827FCD4" w14:textId="77777777" w:rsidR="00523C1E" w:rsidRPr="00CA64E6" w:rsidRDefault="001E2C20" w:rsidP="00CA64E6">
            <w:pPr>
              <w:spacing w:line="360" w:lineRule="auto"/>
              <w:rPr>
                <w:rFonts w:ascii="Arial" w:hAnsi="Arial" w:cs="Arial"/>
              </w:rPr>
            </w:pPr>
            <w:r>
              <w:rPr>
                <w:rFonts w:ascii="Arial" w:hAnsi="Arial" w:cs="Arial"/>
                <w:b/>
                <w:bCs/>
                <w:sz w:val="16"/>
                <w:szCs w:val="16"/>
              </w:rPr>
              <w:t>RÉSULTAT</w:t>
            </w:r>
          </w:p>
        </w:tc>
        <w:tc>
          <w:tcPr>
            <w:tcW w:w="2600" w:type="dxa"/>
            <w:tcBorders>
              <w:top w:val="single" w:sz="4" w:space="0" w:color="CCCCCC"/>
              <w:left w:val="single" w:sz="4" w:space="0" w:color="CCCCCC"/>
              <w:bottom w:val="single" w:sz="4" w:space="0" w:color="CCCCCC"/>
              <w:right w:val="single" w:sz="4" w:space="0" w:color="CCCCCC"/>
            </w:tcBorders>
            <w:shd w:val="clear" w:color="auto" w:fill="D9D9D9"/>
            <w:tcMar>
              <w:top w:w="80" w:type="dxa"/>
              <w:left w:w="120" w:type="dxa"/>
              <w:bottom w:w="80" w:type="dxa"/>
              <w:right w:w="120" w:type="dxa"/>
            </w:tcMar>
          </w:tcPr>
          <w:p w14:paraId="311B418F" w14:textId="77777777" w:rsidR="00523C1E" w:rsidRPr="00CA64E6" w:rsidRDefault="00523C1E" w:rsidP="00CA64E6">
            <w:pPr>
              <w:spacing w:line="360" w:lineRule="auto"/>
              <w:rPr>
                <w:rFonts w:ascii="Arial" w:hAnsi="Arial" w:cs="Arial"/>
              </w:rPr>
            </w:pPr>
          </w:p>
        </w:tc>
      </w:tr>
      <w:tr w:rsidR="00523C1E" w:rsidRPr="00CA64E6" w14:paraId="33DEA668" w14:textId="77777777">
        <w:tc>
          <w:tcPr>
            <w:tcW w:w="26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388936B2" w14:textId="77777777" w:rsidR="00523C1E" w:rsidRPr="00CA64E6" w:rsidRDefault="001E2C20" w:rsidP="00CA64E6">
            <w:pPr>
              <w:spacing w:line="360" w:lineRule="auto"/>
              <w:rPr>
                <w:rFonts w:ascii="Arial" w:hAnsi="Arial" w:cs="Arial"/>
              </w:rPr>
            </w:pPr>
            <w:r>
              <w:rPr>
                <w:rFonts w:ascii="Arial" w:hAnsi="Arial" w:cs="Arial"/>
                <w:sz w:val="15"/>
                <w:szCs w:val="15"/>
              </w:rPr>
              <w:t>Requête SQL en langage naturel (NL2SQL = Natural Language to SQL, via Select AI)</w:t>
            </w:r>
          </w:p>
        </w:tc>
        <w:tc>
          <w:tcPr>
            <w:tcW w:w="382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3041752" w14:textId="77777777" w:rsidR="00523C1E" w:rsidRPr="00CA64E6" w:rsidRDefault="001E2C20" w:rsidP="00CA64E6">
            <w:pPr>
              <w:spacing w:line="360" w:lineRule="auto"/>
              <w:rPr>
                <w:rFonts w:ascii="Arial" w:hAnsi="Arial" w:cs="Arial"/>
              </w:rPr>
            </w:pPr>
            <w:r>
              <w:rPr>
                <w:rFonts w:ascii="Arial" w:hAnsi="Arial" w:cs="Arial"/>
                <w:sz w:val="15"/>
                <w:szCs w:val="15"/>
              </w:rPr>
              <w:t>→ Agent IA embarqué → AI Vector Search → Données relationnelles</w:t>
            </w:r>
          </w:p>
        </w:tc>
        <w:tc>
          <w:tcPr>
            <w:tcW w:w="26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4EFF514C" w14:textId="77777777" w:rsidR="00523C1E" w:rsidRPr="00CA64E6" w:rsidRDefault="001E2C20" w:rsidP="00CA64E6">
            <w:pPr>
              <w:spacing w:line="360" w:lineRule="auto"/>
              <w:rPr>
                <w:rFonts w:ascii="Arial" w:hAnsi="Arial" w:cs="Arial"/>
              </w:rPr>
            </w:pPr>
            <w:r>
              <w:rPr>
                <w:rFonts w:ascii="Arial" w:hAnsi="Arial" w:cs="Arial"/>
                <w:sz w:val="15"/>
                <w:szCs w:val="15"/>
              </w:rPr>
              <w:t>Réponse enrichie sans infrastructure IA externe</w:t>
            </w:r>
          </w:p>
        </w:tc>
      </w:tr>
    </w:tbl>
    <w:p w14:paraId="3745DA9C" w14:textId="77777777" w:rsidR="001662BF" w:rsidRPr="00CA64E6" w:rsidRDefault="001662BF" w:rsidP="00CA64E6">
      <w:pPr>
        <w:spacing w:after="120" w:line="360" w:lineRule="auto"/>
        <w:rPr>
          <w:rFonts w:ascii="Arial" w:hAnsi="Arial" w:cs="Arial"/>
        </w:rPr>
      </w:pPr>
    </w:p>
    <w:p w14:paraId="3BD17955" w14:textId="77777777" w:rsidR="00523C1E" w:rsidRPr="00CA64E6" w:rsidRDefault="001E2C20" w:rsidP="00CA64E6">
      <w:pPr>
        <w:spacing w:before="280" w:after="120" w:line="360" w:lineRule="auto"/>
        <w:rPr>
          <w:rFonts w:ascii="Arial" w:hAnsi="Arial" w:cs="Arial"/>
        </w:rPr>
      </w:pPr>
      <w:r>
        <w:rPr>
          <w:rFonts w:ascii="Arial" w:hAnsi="Arial" w:cs="Arial"/>
          <w:b/>
          <w:bCs/>
          <w:color w:val="FF6B00"/>
          <w:sz w:val="22"/>
          <w:szCs w:val="22"/>
        </w:rPr>
        <w:t>2. RÉSUMÉ DES ARTICLES ET SOURCES</w:t>
      </w:r>
    </w:p>
    <w:p w14:paraId="6E287BE8" w14:textId="77777777" w:rsidR="00523C1E" w:rsidRPr="00CA64E6" w:rsidRDefault="001E2C20" w:rsidP="00CA64E6">
      <w:pPr>
        <w:spacing w:before="280" w:after="120" w:line="360" w:lineRule="auto"/>
        <w:rPr>
          <w:rFonts w:ascii="Arial" w:hAnsi="Arial" w:cs="Arial"/>
        </w:rPr>
      </w:pPr>
      <w:r>
        <w:rPr>
          <w:rFonts w:ascii="Arial" w:hAnsi="Arial" w:cs="Arial"/>
          <w:b/>
          <w:bCs/>
          <w:sz w:val="18"/>
          <w:szCs w:val="18"/>
        </w:rPr>
        <w:t>Oracle Blog officiel — disponibilité générale (GA) on-premises (27 janvier 2026) :</w:t>
      </w:r>
    </w:p>
    <w:p w14:paraId="22265ECE" w14:textId="77777777" w:rsidR="00523C1E" w:rsidRPr="00CA64E6" w:rsidRDefault="001E2C20" w:rsidP="00CA64E6">
      <w:pPr>
        <w:spacing w:before="60" w:after="80" w:line="360" w:lineRule="auto"/>
        <w:jc w:val="both"/>
        <w:rPr>
          <w:rFonts w:ascii="Arial" w:hAnsi="Arial" w:cs="Arial"/>
        </w:rPr>
      </w:pPr>
      <w:r>
        <w:rPr>
          <w:rFonts w:ascii="Arial" w:hAnsi="Arial" w:cs="Arial"/>
        </w:rPr>
        <w:t>Oracle annonce la disponibilité générale de Oracle AI Database 26ai Enterprise Edition pour Linux x86-64 on-premises, dans le cadre de la mise à jour trimestrielle de janvier 2026 (version 23.26.1). Les fonctionnalités clés livrées : AI Vector Search, réplication distribuée mondiale via RAFT (protocole de synchronisation entre serveurs distants), pare-feu SQL intégré, chiffrement résistant aux ordinateurs quantiques (ML-KEM), True Cache, JSON Relational Duality et support Apache Iceberg Lakehouse. La migration depuis Oracle 19c est directe, et la transition depuis 23ai ne nécessite qu’un simple patch, sans re-certification des applications.</w:t>
      </w:r>
    </w:p>
    <w:p w14:paraId="350FD17D" w14:textId="77777777" w:rsidR="00523C1E" w:rsidRPr="00CA64E6" w:rsidRDefault="001E2C20" w:rsidP="00CA64E6">
      <w:pPr>
        <w:spacing w:before="280" w:after="120" w:line="360" w:lineRule="auto"/>
        <w:rPr>
          <w:rFonts w:ascii="Arial" w:hAnsi="Arial" w:cs="Arial"/>
        </w:rPr>
      </w:pPr>
      <w:r>
        <w:rPr>
          <w:rFonts w:ascii="Arial" w:hAnsi="Arial" w:cs="Arial"/>
          <w:b/>
          <w:bCs/>
          <w:sz w:val="18"/>
          <w:szCs w:val="18"/>
        </w:rPr>
        <w:t>Oracle Blog — Introduction à 26ai : plateforme IA-native (janvier 2026) :</w:t>
      </w:r>
    </w:p>
    <w:p w14:paraId="3AE47B48" w14:textId="77777777" w:rsidR="00523C1E" w:rsidRPr="00CA64E6" w:rsidRDefault="001E2C20" w:rsidP="00CA64E6">
      <w:pPr>
        <w:spacing w:before="60" w:after="80" w:line="360" w:lineRule="auto"/>
        <w:jc w:val="both"/>
        <w:rPr>
          <w:rFonts w:ascii="Arial" w:hAnsi="Arial" w:cs="Arial"/>
        </w:rPr>
      </w:pPr>
      <w:r>
        <w:rPr>
          <w:rFonts w:ascii="Arial" w:hAnsi="Arial" w:cs="Arial"/>
        </w:rPr>
        <w:t>Oracle présente 26ai comme "l’IA intégrée dans toute la chaîne de traitement des données". La fonctionnalité principale est la possibilité de lancer des tâches IA directement dans la base : les agents mélangent les données privées de l’entreprise et des informations publiques pour produire des réponses et déclencher des actions. Select AI permet d’écrire des requêtes SQL en langage naturel (NL2SQL : on tape une question en français ou anglais, la base la traduit en SQL), avec la prise en charge de plusieurs fournisseurs de modèles IA (OCI Generative AI, OpenAI, Azure, Cohere).</w:t>
      </w:r>
    </w:p>
    <w:p w14:paraId="6A5A4EF2" w14:textId="77777777" w:rsidR="00523C1E" w:rsidRPr="00CA64E6" w:rsidRDefault="001E2C20" w:rsidP="00CA64E6">
      <w:pPr>
        <w:spacing w:before="280" w:after="120" w:line="360" w:lineRule="auto"/>
        <w:rPr>
          <w:rFonts w:ascii="Arial" w:hAnsi="Arial" w:cs="Arial"/>
        </w:rPr>
      </w:pPr>
      <w:r>
        <w:rPr>
          <w:rFonts w:ascii="Arial" w:hAnsi="Arial" w:cs="Arial"/>
          <w:b/>
          <w:bCs/>
          <w:sz w:val="18"/>
          <w:szCs w:val="18"/>
        </w:rPr>
        <w:t>DBTA (Database Trends and Applications) — Analyse indépendante (4 février 2026) :</w:t>
      </w:r>
    </w:p>
    <w:p w14:paraId="2593994B" w14:textId="77777777" w:rsidR="00523C1E" w:rsidRPr="00CA64E6" w:rsidRDefault="001E2C20" w:rsidP="00CA64E6">
      <w:pPr>
        <w:spacing w:before="60" w:after="80" w:line="360" w:lineRule="auto"/>
        <w:jc w:val="both"/>
        <w:rPr>
          <w:rFonts w:ascii="Arial" w:hAnsi="Arial" w:cs="Arial"/>
        </w:rPr>
      </w:pPr>
      <w:r>
        <w:rPr>
          <w:rFonts w:ascii="Arial" w:hAnsi="Arial" w:cs="Arial"/>
        </w:rPr>
        <w:t>L'article confirme que cette version est une étape importante pour les clients on-premises Oracle : pour la première fois, les entreprises qui doivent garder leurs données en interne (finance, santé, défense, secteur public) peuvent profiter des mêmes capacités IA que les déploiements cloud. L'article souligne que l'AI Vector Search et True Cache sont inclus sans coût de licence supplémentaire, contrairement aux extensions IA de certains concurrents.</w:t>
      </w:r>
    </w:p>
    <w:p w14:paraId="2A6CA3FF" w14:textId="77777777" w:rsidR="00523C1E" w:rsidRPr="00CA64E6" w:rsidRDefault="001E2C20" w:rsidP="00CA64E6">
      <w:pPr>
        <w:spacing w:before="280" w:after="120" w:line="360" w:lineRule="auto"/>
        <w:rPr>
          <w:rFonts w:ascii="Arial" w:hAnsi="Arial" w:cs="Arial"/>
        </w:rPr>
      </w:pPr>
      <w:r>
        <w:rPr>
          <w:rFonts w:ascii="Arial" w:hAnsi="Arial" w:cs="Arial"/>
          <w:b/>
          <w:bCs/>
          <w:sz w:val="18"/>
          <w:szCs w:val="18"/>
        </w:rPr>
        <w:t>DBAInsight — Analyse des nouvelles fonctionnalités 26ai (19 février 2026) :</w:t>
      </w:r>
    </w:p>
    <w:p w14:paraId="24DC27A2" w14:textId="77777777" w:rsidR="00523C1E" w:rsidRPr="00CA64E6" w:rsidRDefault="001E2C20" w:rsidP="00CA64E6">
      <w:pPr>
        <w:spacing w:before="60" w:after="80" w:line="360" w:lineRule="auto"/>
        <w:jc w:val="both"/>
        <w:rPr>
          <w:rFonts w:ascii="Arial" w:hAnsi="Arial" w:cs="Arial"/>
        </w:rPr>
      </w:pPr>
      <w:r>
        <w:rPr>
          <w:rFonts w:ascii="Arial" w:hAnsi="Arial" w:cs="Arial"/>
        </w:rPr>
        <w:t>L’article recense plus de 300 nouvelles fonctionnalités. Parmi les plus significatives pour un développeur SLAM : GROUP BY ALL (qui élimine une erreur SQL fréquente lors des regroupements avec colonnes manquantes), DATEDIFF avec une précision étendue jusqu’à la nanoseconde, les colonnes générées virtuelles calculées à la lecture, et uuidv7() pour des identifiants uniques ordonnés par temps — ce qui améliore les performances des index car les valeurs s’insèrent toujours en fin de liste sans réorganiser l’index. Ces améliorations SQL simplifient directement l’expérience développeur au quotidien.</w:t>
      </w:r>
    </w:p>
    <w:p w14:paraId="2CE93BF5" w14:textId="77777777" w:rsidR="00523C1E" w:rsidRPr="00CA64E6" w:rsidRDefault="00523C1E" w:rsidP="00CA64E6">
      <w:pPr>
        <w:spacing w:after="120" w:line="360" w:lineRule="auto"/>
        <w:rPr>
          <w:rFonts w:ascii="Arial" w:hAnsi="Arial" w:cs="Arial"/>
        </w:rPr>
      </w:pPr>
    </w:p>
    <w:p w14:paraId="0B21007F" w14:textId="77777777" w:rsidR="00CA64E6" w:rsidRPr="00CA64E6" w:rsidRDefault="00CA64E6" w:rsidP="00CA64E6">
      <w:pPr>
        <w:spacing w:after="120" w:line="360" w:lineRule="auto"/>
        <w:rPr>
          <w:rFonts w:ascii="Arial" w:hAnsi="Arial" w:cs="Arial"/>
        </w:rPr>
      </w:pPr>
    </w:p>
    <w:p w14:paraId="4705744F" w14:textId="77777777" w:rsidR="00CA64E6" w:rsidRPr="00CA64E6" w:rsidRDefault="00CA64E6" w:rsidP="00CA64E6">
      <w:pPr>
        <w:spacing w:after="120" w:line="360" w:lineRule="auto"/>
        <w:rPr>
          <w:rFonts w:ascii="Arial" w:hAnsi="Arial" w:cs="Arial"/>
        </w:rPr>
      </w:pPr>
    </w:p>
    <w:p w14:paraId="7B5E2564" w14:textId="77777777" w:rsidR="00CA64E6" w:rsidRPr="00CA64E6" w:rsidRDefault="00CA64E6" w:rsidP="00CA64E6">
      <w:pPr>
        <w:spacing w:after="120" w:line="360" w:lineRule="auto"/>
        <w:rPr>
          <w:rFonts w:ascii="Arial" w:hAnsi="Arial" w:cs="Arial"/>
        </w:rPr>
      </w:pPr>
    </w:p>
    <w:p w14:paraId="0AADF222" w14:textId="77777777" w:rsidR="00523C1E" w:rsidRPr="00CA64E6" w:rsidRDefault="001E2C20" w:rsidP="00CA64E6">
      <w:pPr>
        <w:spacing w:before="280" w:after="120" w:line="360" w:lineRule="auto"/>
        <w:rPr>
          <w:rFonts w:ascii="Arial" w:hAnsi="Arial" w:cs="Arial"/>
        </w:rPr>
      </w:pPr>
      <w:r>
        <w:rPr>
          <w:rFonts w:ascii="Arial" w:hAnsi="Arial" w:cs="Arial"/>
          <w:b/>
          <w:bCs/>
          <w:color w:val="FF6B00"/>
          <w:sz w:val="22"/>
          <w:szCs w:val="22"/>
        </w:rPr>
        <w:lastRenderedPageBreak/>
        <w:t>3. CE QUE CETTE TECHNOLOGIE APPORTE ET SES LIMITES</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513"/>
        <w:gridCol w:w="4513"/>
      </w:tblGrid>
      <w:tr w:rsidR="00523C1E" w:rsidRPr="00CA64E6" w14:paraId="1EEEA5B7" w14:textId="77777777">
        <w:tc>
          <w:tcPr>
            <w:tcW w:w="4513" w:type="dxa"/>
            <w:tcBorders>
              <w:top w:val="single" w:sz="4" w:space="0" w:color="CCCCCC"/>
              <w:left w:val="single" w:sz="4" w:space="0" w:color="CCCCCC"/>
              <w:bottom w:val="single" w:sz="4" w:space="0" w:color="CCCCCC"/>
              <w:right w:val="single" w:sz="4" w:space="0" w:color="CCCCCC"/>
            </w:tcBorders>
            <w:shd w:val="clear" w:color="auto" w:fill="D9D9D9"/>
            <w:tcMar>
              <w:top w:w="80" w:type="dxa"/>
              <w:left w:w="120" w:type="dxa"/>
              <w:bottom w:w="80" w:type="dxa"/>
              <w:right w:w="120" w:type="dxa"/>
            </w:tcMar>
          </w:tcPr>
          <w:p w14:paraId="4E2ECACF" w14:textId="77777777" w:rsidR="00523C1E" w:rsidRPr="00CA64E6" w:rsidRDefault="001E2C20" w:rsidP="00CA64E6">
            <w:pPr>
              <w:spacing w:line="360" w:lineRule="auto"/>
              <w:rPr>
                <w:rFonts w:ascii="Arial" w:hAnsi="Arial" w:cs="Arial"/>
              </w:rPr>
            </w:pPr>
            <w:r>
              <w:rPr>
                <w:rFonts w:ascii="Arial" w:hAnsi="Arial" w:cs="Arial"/>
                <w:b/>
                <w:bCs/>
                <w:sz w:val="16"/>
                <w:szCs w:val="16"/>
              </w:rPr>
              <w:t>Apports</w:t>
            </w:r>
          </w:p>
        </w:tc>
        <w:tc>
          <w:tcPr>
            <w:tcW w:w="4513" w:type="dxa"/>
            <w:tcBorders>
              <w:top w:val="single" w:sz="4" w:space="0" w:color="CCCCCC"/>
              <w:left w:val="single" w:sz="4" w:space="0" w:color="CCCCCC"/>
              <w:bottom w:val="single" w:sz="4" w:space="0" w:color="CCCCCC"/>
              <w:right w:val="single" w:sz="4" w:space="0" w:color="CCCCCC"/>
            </w:tcBorders>
            <w:shd w:val="clear" w:color="auto" w:fill="D9D9D9"/>
            <w:tcMar>
              <w:top w:w="80" w:type="dxa"/>
              <w:left w:w="120" w:type="dxa"/>
              <w:bottom w:w="80" w:type="dxa"/>
              <w:right w:w="120" w:type="dxa"/>
            </w:tcMar>
          </w:tcPr>
          <w:p w14:paraId="74273379" w14:textId="77777777" w:rsidR="00523C1E" w:rsidRPr="00CA64E6" w:rsidRDefault="001E2C20" w:rsidP="00CA64E6">
            <w:pPr>
              <w:spacing w:line="360" w:lineRule="auto"/>
              <w:rPr>
                <w:rFonts w:ascii="Arial" w:hAnsi="Arial" w:cs="Arial"/>
              </w:rPr>
            </w:pPr>
            <w:r>
              <w:rPr>
                <w:rFonts w:ascii="Arial" w:hAnsi="Arial" w:cs="Arial"/>
                <w:b/>
                <w:bCs/>
                <w:sz w:val="16"/>
                <w:szCs w:val="16"/>
              </w:rPr>
              <w:t>Limites</w:t>
            </w:r>
          </w:p>
        </w:tc>
      </w:tr>
      <w:tr w:rsidR="00523C1E" w:rsidRPr="00CA64E6" w14:paraId="145991F8" w14:textId="77777777">
        <w:tc>
          <w:tcPr>
            <w:tcW w:w="4513"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44582197" w14:textId="77777777" w:rsidR="00523C1E" w:rsidRPr="00CA64E6" w:rsidRDefault="001E2C20" w:rsidP="00CA64E6">
            <w:pPr>
              <w:spacing w:line="360" w:lineRule="auto"/>
              <w:rPr>
                <w:rFonts w:ascii="Arial" w:hAnsi="Arial" w:cs="Arial"/>
              </w:rPr>
            </w:pPr>
            <w:r>
              <w:rPr>
                <w:rFonts w:ascii="Arial" w:hAnsi="Arial" w:cs="Arial"/>
                <w:sz w:val="15"/>
                <w:szCs w:val="15"/>
              </w:rPr>
              <w:t>AI Vector Search intégré sans coût de licence supplémentaire</w:t>
            </w:r>
          </w:p>
        </w:tc>
        <w:tc>
          <w:tcPr>
            <w:tcW w:w="4513"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40D7BF8" w14:textId="77777777" w:rsidR="00523C1E" w:rsidRPr="00CA64E6" w:rsidRDefault="001E2C20" w:rsidP="00CA64E6">
            <w:pPr>
              <w:spacing w:line="360" w:lineRule="auto"/>
              <w:rPr>
                <w:rFonts w:ascii="Arial" w:hAnsi="Arial" w:cs="Arial"/>
              </w:rPr>
            </w:pPr>
            <w:r>
              <w:rPr>
                <w:rFonts w:ascii="Arial" w:hAnsi="Arial" w:cs="Arial"/>
                <w:sz w:val="15"/>
                <w:szCs w:val="15"/>
              </w:rPr>
              <w:t>Exclusivement Linux x86-64 pour l'instant (Windows, AIX prévus fin 2026)</w:t>
            </w:r>
          </w:p>
        </w:tc>
      </w:tr>
      <w:tr w:rsidR="00523C1E" w:rsidRPr="00CA64E6" w14:paraId="538B990D" w14:textId="77777777">
        <w:tc>
          <w:tcPr>
            <w:tcW w:w="4513" w:type="dxa"/>
            <w:tcBorders>
              <w:top w:val="single" w:sz="4" w:space="0" w:color="CCCCCC"/>
              <w:left w:val="single" w:sz="4" w:space="0" w:color="CCCCCC"/>
              <w:bottom w:val="single" w:sz="4" w:space="0" w:color="CCCCCC"/>
              <w:right w:val="single" w:sz="4" w:space="0" w:color="CCCCCC"/>
            </w:tcBorders>
            <w:shd w:val="clear" w:color="auto" w:fill="EDEDED"/>
            <w:tcMar>
              <w:top w:w="80" w:type="dxa"/>
              <w:left w:w="120" w:type="dxa"/>
              <w:bottom w:w="80" w:type="dxa"/>
              <w:right w:w="120" w:type="dxa"/>
            </w:tcMar>
          </w:tcPr>
          <w:p w14:paraId="4B418566" w14:textId="77777777" w:rsidR="00523C1E" w:rsidRPr="00CA64E6" w:rsidRDefault="001E2C20" w:rsidP="00CA64E6">
            <w:pPr>
              <w:spacing w:line="360" w:lineRule="auto"/>
              <w:rPr>
                <w:rFonts w:ascii="Arial" w:hAnsi="Arial" w:cs="Arial"/>
              </w:rPr>
            </w:pPr>
            <w:r>
              <w:rPr>
                <w:rFonts w:ascii="Arial" w:hAnsi="Arial" w:cs="Arial"/>
                <w:sz w:val="15"/>
                <w:szCs w:val="15"/>
              </w:rPr>
              <w:t>Agents IA exécutés en SQL natif — pas besoin d'infrastructure LLM externe</w:t>
            </w:r>
          </w:p>
        </w:tc>
        <w:tc>
          <w:tcPr>
            <w:tcW w:w="4513" w:type="dxa"/>
            <w:tcBorders>
              <w:top w:val="single" w:sz="4" w:space="0" w:color="CCCCCC"/>
              <w:left w:val="single" w:sz="4" w:space="0" w:color="CCCCCC"/>
              <w:bottom w:val="single" w:sz="4" w:space="0" w:color="CCCCCC"/>
              <w:right w:val="single" w:sz="4" w:space="0" w:color="CCCCCC"/>
            </w:tcBorders>
            <w:shd w:val="clear" w:color="auto" w:fill="EDEDED"/>
            <w:tcMar>
              <w:top w:w="80" w:type="dxa"/>
              <w:left w:w="120" w:type="dxa"/>
              <w:bottom w:w="80" w:type="dxa"/>
              <w:right w:w="120" w:type="dxa"/>
            </w:tcMar>
          </w:tcPr>
          <w:p w14:paraId="2BA77DA3" w14:textId="77777777" w:rsidR="00523C1E" w:rsidRPr="00CA64E6" w:rsidRDefault="001E2C20" w:rsidP="00CA64E6">
            <w:pPr>
              <w:spacing w:line="360" w:lineRule="auto"/>
              <w:rPr>
                <w:rFonts w:ascii="Arial" w:hAnsi="Arial" w:cs="Arial"/>
              </w:rPr>
            </w:pPr>
            <w:r>
              <w:rPr>
                <w:rFonts w:ascii="Arial" w:hAnsi="Arial" w:cs="Arial"/>
                <w:sz w:val="15"/>
                <w:szCs w:val="15"/>
              </w:rPr>
              <w:t>License Enterprise Edition requise — pas disponible en Community</w:t>
            </w:r>
          </w:p>
        </w:tc>
      </w:tr>
      <w:tr w:rsidR="00523C1E" w:rsidRPr="00CA64E6" w14:paraId="68786D9F" w14:textId="77777777">
        <w:tc>
          <w:tcPr>
            <w:tcW w:w="4513"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2D7B6276" w14:textId="77777777" w:rsidR="00523C1E" w:rsidRPr="00CA64E6" w:rsidRDefault="001E2C20" w:rsidP="00CA64E6">
            <w:pPr>
              <w:spacing w:line="360" w:lineRule="auto"/>
              <w:rPr>
                <w:rFonts w:ascii="Arial" w:hAnsi="Arial" w:cs="Arial"/>
              </w:rPr>
            </w:pPr>
            <w:r>
              <w:rPr>
                <w:rFonts w:ascii="Arial" w:hAnsi="Arial" w:cs="Arial"/>
                <w:sz w:val="15"/>
                <w:szCs w:val="15"/>
              </w:rPr>
              <w:t>Chiffrement quantique ML-KEM (algorithme post-quantique standardisé en 2024 : protège les données même face à un ordinateur quantique) : protection des données en transit</w:t>
            </w:r>
          </w:p>
        </w:tc>
        <w:tc>
          <w:tcPr>
            <w:tcW w:w="4513"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717D216E" w14:textId="77777777" w:rsidR="00523C1E" w:rsidRPr="00CA64E6" w:rsidRDefault="001E2C20" w:rsidP="00CA64E6">
            <w:pPr>
              <w:spacing w:line="360" w:lineRule="auto"/>
              <w:rPr>
                <w:rFonts w:ascii="Arial" w:hAnsi="Arial" w:cs="Arial"/>
              </w:rPr>
            </w:pPr>
            <w:r>
              <w:rPr>
                <w:rFonts w:ascii="Arial" w:hAnsi="Arial" w:cs="Arial"/>
                <w:sz w:val="15"/>
                <w:szCs w:val="15"/>
              </w:rPr>
              <w:t>Courbe d’apprentissage : architecture CDB/PDB obligatoire (CDB = base conteneur, PDB = base enfichable — l’architecture multi-locataires d’Oracle), Non-CDB supprimé</w:t>
            </w:r>
          </w:p>
        </w:tc>
      </w:tr>
      <w:tr w:rsidR="00523C1E" w:rsidRPr="00CA64E6" w14:paraId="472C9416" w14:textId="77777777">
        <w:tc>
          <w:tcPr>
            <w:tcW w:w="4513" w:type="dxa"/>
            <w:tcBorders>
              <w:top w:val="single" w:sz="4" w:space="0" w:color="CCCCCC"/>
              <w:left w:val="single" w:sz="4" w:space="0" w:color="CCCCCC"/>
              <w:bottom w:val="single" w:sz="4" w:space="0" w:color="CCCCCC"/>
              <w:right w:val="single" w:sz="4" w:space="0" w:color="CCCCCC"/>
            </w:tcBorders>
            <w:shd w:val="clear" w:color="auto" w:fill="EDEDED"/>
            <w:tcMar>
              <w:top w:w="80" w:type="dxa"/>
              <w:left w:w="120" w:type="dxa"/>
              <w:bottom w:w="80" w:type="dxa"/>
              <w:right w:w="120" w:type="dxa"/>
            </w:tcMar>
          </w:tcPr>
          <w:p w14:paraId="6F1265EB" w14:textId="77777777" w:rsidR="00523C1E" w:rsidRPr="00CA64E6" w:rsidRDefault="001E2C20" w:rsidP="00CA64E6">
            <w:pPr>
              <w:spacing w:line="360" w:lineRule="auto"/>
              <w:rPr>
                <w:rFonts w:ascii="Arial" w:hAnsi="Arial" w:cs="Arial"/>
              </w:rPr>
            </w:pPr>
            <w:r>
              <w:rPr>
                <w:rFonts w:ascii="Arial" w:hAnsi="Arial" w:cs="Arial"/>
                <w:sz w:val="15"/>
                <w:szCs w:val="15"/>
              </w:rPr>
              <w:t>Migration directe depuis Oracle 19c — pas de re-certification des apps</w:t>
            </w:r>
          </w:p>
        </w:tc>
        <w:tc>
          <w:tcPr>
            <w:tcW w:w="4513" w:type="dxa"/>
            <w:tcBorders>
              <w:top w:val="single" w:sz="4" w:space="0" w:color="CCCCCC"/>
              <w:left w:val="single" w:sz="4" w:space="0" w:color="CCCCCC"/>
              <w:bottom w:val="single" w:sz="4" w:space="0" w:color="CCCCCC"/>
              <w:right w:val="single" w:sz="4" w:space="0" w:color="CCCCCC"/>
            </w:tcBorders>
            <w:shd w:val="clear" w:color="auto" w:fill="EDEDED"/>
            <w:tcMar>
              <w:top w:w="80" w:type="dxa"/>
              <w:left w:w="120" w:type="dxa"/>
              <w:bottom w:w="80" w:type="dxa"/>
              <w:right w:w="120" w:type="dxa"/>
            </w:tcMar>
          </w:tcPr>
          <w:p w14:paraId="2FDCDD8F" w14:textId="77777777" w:rsidR="00523C1E" w:rsidRPr="00CA64E6" w:rsidRDefault="001E2C20" w:rsidP="00CA64E6">
            <w:pPr>
              <w:spacing w:line="360" w:lineRule="auto"/>
              <w:rPr>
                <w:rFonts w:ascii="Arial" w:hAnsi="Arial" w:cs="Arial"/>
              </w:rPr>
            </w:pPr>
            <w:r>
              <w:rPr>
                <w:rFonts w:ascii="Arial" w:hAnsi="Arial" w:cs="Arial"/>
                <w:sz w:val="15"/>
                <w:szCs w:val="15"/>
              </w:rPr>
              <w:t>Select AI limité aux fournisseurs LLM supportés (OCI, OpenAI, Azure, Cohere)</w:t>
            </w:r>
          </w:p>
        </w:tc>
      </w:tr>
      <w:tr w:rsidR="00523C1E" w:rsidRPr="00CA64E6" w14:paraId="6AC5A877" w14:textId="77777777">
        <w:tc>
          <w:tcPr>
            <w:tcW w:w="4513"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439E15E" w14:textId="77777777" w:rsidR="00523C1E" w:rsidRPr="00CA64E6" w:rsidRDefault="001E2C20" w:rsidP="00CA64E6">
            <w:pPr>
              <w:spacing w:line="360" w:lineRule="auto"/>
              <w:rPr>
                <w:rFonts w:ascii="Arial" w:hAnsi="Arial" w:cs="Arial"/>
              </w:rPr>
            </w:pPr>
            <w:r>
              <w:rPr>
                <w:rFonts w:ascii="Arial" w:hAnsi="Arial" w:cs="Arial"/>
                <w:sz w:val="15"/>
                <w:szCs w:val="15"/>
              </w:rPr>
              <w:t>JSON Relational Duality : même données vues comme table OU document JSON</w:t>
            </w:r>
          </w:p>
        </w:tc>
        <w:tc>
          <w:tcPr>
            <w:tcW w:w="4513"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B8790AB" w14:textId="77777777" w:rsidR="00523C1E" w:rsidRPr="00CA64E6" w:rsidRDefault="001E2C20" w:rsidP="00CA64E6">
            <w:pPr>
              <w:spacing w:line="360" w:lineRule="auto"/>
              <w:rPr>
                <w:rFonts w:ascii="Arial" w:hAnsi="Arial" w:cs="Arial"/>
              </w:rPr>
            </w:pPr>
            <w:r>
              <w:rPr>
                <w:rFonts w:ascii="Arial" w:hAnsi="Arial" w:cs="Arial"/>
                <w:sz w:val="15"/>
                <w:szCs w:val="15"/>
              </w:rPr>
              <w:t>Performances des agents IA en SQL encore en cours d'optimisation selon les DBA</w:t>
            </w:r>
          </w:p>
        </w:tc>
      </w:tr>
    </w:tbl>
    <w:p w14:paraId="3BDCCDD9" w14:textId="77777777" w:rsidR="00523C1E" w:rsidRPr="00CA64E6" w:rsidRDefault="00523C1E" w:rsidP="00CA64E6">
      <w:pPr>
        <w:spacing w:after="120" w:line="360" w:lineRule="auto"/>
        <w:rPr>
          <w:rFonts w:ascii="Arial" w:hAnsi="Arial" w:cs="Arial"/>
        </w:rPr>
      </w:pPr>
    </w:p>
    <w:p w14:paraId="20D1D7F9" w14:textId="77777777" w:rsidR="00523C1E" w:rsidRPr="00CA64E6" w:rsidRDefault="001E2C20" w:rsidP="00CA64E6">
      <w:pPr>
        <w:spacing w:before="280" w:after="120" w:line="360" w:lineRule="auto"/>
        <w:rPr>
          <w:rFonts w:ascii="Arial" w:hAnsi="Arial" w:cs="Arial"/>
        </w:rPr>
      </w:pPr>
      <w:r>
        <w:rPr>
          <w:rFonts w:ascii="Arial" w:hAnsi="Arial" w:cs="Arial"/>
          <w:b/>
          <w:bCs/>
          <w:color w:val="FF6B00"/>
          <w:sz w:val="22"/>
          <w:szCs w:val="22"/>
        </w:rPr>
        <w:t>4. CAS D'USAGE CONCRETS</w:t>
      </w:r>
    </w:p>
    <w:p w14:paraId="053E867D" w14:textId="65CD61B1" w:rsidR="00523C1E" w:rsidRPr="00CA64E6" w:rsidRDefault="001E2C20" w:rsidP="00CA64E6">
      <w:pPr>
        <w:spacing w:before="60" w:after="80" w:line="360" w:lineRule="auto"/>
        <w:jc w:val="both"/>
        <w:rPr>
          <w:rFonts w:ascii="Arial" w:hAnsi="Arial" w:cs="Arial"/>
        </w:rPr>
      </w:pPr>
      <w:r>
        <w:rPr>
          <w:rFonts w:ascii="Arial" w:hAnsi="Arial" w:cs="Arial"/>
        </w:rPr>
        <w:t>D’après les sources consultées, Oracle AI Database 26ai cible en priorité les secteurs soumis à des règles strictes sur les données (RGPD, AI Act — règlement européen sur l’IA, NIS2 — directive européenne sur la cybersécurité) :</w:t>
      </w:r>
    </w:p>
    <w:p w14:paraId="4ABA12C5" w14:textId="77777777" w:rsidR="00523C1E" w:rsidRPr="00CA64E6" w:rsidRDefault="001E2C20" w:rsidP="00CA64E6">
      <w:pPr>
        <w:spacing w:before="280" w:after="120" w:line="360" w:lineRule="auto"/>
        <w:rPr>
          <w:rFonts w:ascii="Arial" w:hAnsi="Arial" w:cs="Arial"/>
        </w:rPr>
      </w:pPr>
      <w:r>
        <w:rPr>
          <w:rFonts w:ascii="Arial" w:hAnsi="Arial" w:cs="Arial"/>
          <w:b/>
          <w:bCs/>
          <w:sz w:val="18"/>
          <w:szCs w:val="18"/>
        </w:rPr>
        <w:t>Finance / Banque :</w:t>
      </w:r>
    </w:p>
    <w:p w14:paraId="5F6EF398" w14:textId="77777777" w:rsidR="00523C1E" w:rsidRPr="00CA64E6" w:rsidRDefault="001E2C20" w:rsidP="00CA64E6">
      <w:pPr>
        <w:spacing w:before="60" w:after="80" w:line="360" w:lineRule="auto"/>
        <w:jc w:val="both"/>
        <w:rPr>
          <w:rFonts w:ascii="Arial" w:hAnsi="Arial" w:cs="Arial"/>
        </w:rPr>
      </w:pPr>
      <w:r>
        <w:rPr>
          <w:rFonts w:ascii="Arial" w:hAnsi="Arial" w:cs="Arial"/>
        </w:rPr>
        <w:t>Détection de fraude combinant scoring relationnel et recherche vectorielle sur transactions passées — sans exporter les données hors du SI. Le pare-feu SQL intégré bloque les requêtes malveillantes ou non conformes RGPD directement en base.</w:t>
      </w:r>
    </w:p>
    <w:p w14:paraId="3E83FADD" w14:textId="77777777" w:rsidR="00523C1E" w:rsidRPr="00CA64E6" w:rsidRDefault="001E2C20" w:rsidP="00CA64E6">
      <w:pPr>
        <w:spacing w:before="280" w:after="120" w:line="360" w:lineRule="auto"/>
        <w:rPr>
          <w:rFonts w:ascii="Arial" w:hAnsi="Arial" w:cs="Arial"/>
        </w:rPr>
      </w:pPr>
      <w:r>
        <w:rPr>
          <w:rFonts w:ascii="Arial" w:hAnsi="Arial" w:cs="Arial"/>
          <w:b/>
          <w:bCs/>
          <w:sz w:val="18"/>
          <w:szCs w:val="18"/>
        </w:rPr>
        <w:t>Secteur public / Défense :</w:t>
      </w:r>
    </w:p>
    <w:p w14:paraId="683BD8A8" w14:textId="77777777" w:rsidR="00523C1E" w:rsidRPr="00CA64E6" w:rsidRDefault="001E2C20" w:rsidP="00CA64E6">
      <w:pPr>
        <w:spacing w:before="60" w:after="80" w:line="360" w:lineRule="auto"/>
        <w:jc w:val="both"/>
        <w:rPr>
          <w:rFonts w:ascii="Arial" w:hAnsi="Arial" w:cs="Arial"/>
        </w:rPr>
      </w:pPr>
      <w:r>
        <w:rPr>
          <w:rFonts w:ascii="Arial" w:hAnsi="Arial" w:cs="Arial"/>
        </w:rPr>
        <w:t>Déploiement on-premises avec chiffrement ML-KEM (résistant aux ordinateurs quantiques) : les données sensibles de l’État ne quittent jamais le datacenter, tout en bénéficiant des capacités d’IA (en accord avec les règles de la stratégie cloud du gouvernement français).</w:t>
      </w:r>
    </w:p>
    <w:p w14:paraId="5AF3A635" w14:textId="77777777" w:rsidR="00523C1E" w:rsidRPr="00CA64E6" w:rsidRDefault="001E2C20" w:rsidP="00CA64E6">
      <w:pPr>
        <w:spacing w:before="280" w:after="120" w:line="360" w:lineRule="auto"/>
        <w:rPr>
          <w:rFonts w:ascii="Arial" w:hAnsi="Arial" w:cs="Arial"/>
        </w:rPr>
      </w:pPr>
      <w:r>
        <w:rPr>
          <w:rFonts w:ascii="Arial" w:hAnsi="Arial" w:cs="Arial"/>
          <w:b/>
          <w:bCs/>
          <w:sz w:val="18"/>
          <w:szCs w:val="18"/>
        </w:rPr>
        <w:t>Santé :</w:t>
      </w:r>
    </w:p>
    <w:p w14:paraId="503C1EC9" w14:textId="77777777" w:rsidR="00523C1E" w:rsidRPr="00CA64E6" w:rsidRDefault="001E2C20" w:rsidP="00CA64E6">
      <w:pPr>
        <w:spacing w:before="60" w:after="80" w:line="360" w:lineRule="auto"/>
        <w:jc w:val="both"/>
        <w:rPr>
          <w:rFonts w:ascii="Arial" w:hAnsi="Arial" w:cs="Arial"/>
        </w:rPr>
      </w:pPr>
      <w:r>
        <w:rPr>
          <w:rFonts w:ascii="Arial" w:hAnsi="Arial" w:cs="Arial"/>
        </w:rPr>
        <w:t>Analyse de dossiers médicaux via RAG en SQL (RAG = Retrieval-Augmented Generation : l’IA va chercher des données dans la base avant de répondre, plutôt que de tout inventer) : l’agent IA interroge la base de dossiers patients vectorisés pour assister le diagnostic, sans jamais exposer les données à un LLM externe — combinaison avec FHE envisageable (cf. veille n°2).</w:t>
      </w:r>
    </w:p>
    <w:p w14:paraId="2D75F590" w14:textId="77777777" w:rsidR="00523C1E" w:rsidRPr="00CA64E6" w:rsidRDefault="001E2C20" w:rsidP="00CA64E6">
      <w:pPr>
        <w:spacing w:before="280" w:after="120" w:line="360" w:lineRule="auto"/>
        <w:rPr>
          <w:rFonts w:ascii="Arial" w:hAnsi="Arial" w:cs="Arial"/>
        </w:rPr>
      </w:pPr>
      <w:r>
        <w:rPr>
          <w:rFonts w:ascii="Arial" w:hAnsi="Arial" w:cs="Arial"/>
          <w:b/>
          <w:bCs/>
          <w:sz w:val="18"/>
          <w:szCs w:val="18"/>
        </w:rPr>
        <w:t>Entreprise / ERP :</w:t>
      </w:r>
    </w:p>
    <w:p w14:paraId="2464487B" w14:textId="415B24AB" w:rsidR="00523C1E" w:rsidRDefault="001E2C20" w:rsidP="00CA64E6">
      <w:pPr>
        <w:spacing w:before="60" w:after="80" w:line="360" w:lineRule="auto"/>
        <w:jc w:val="both"/>
        <w:rPr>
          <w:rFonts w:ascii="Arial" w:hAnsi="Arial" w:cs="Arial"/>
        </w:rPr>
      </w:pPr>
      <w:r>
        <w:rPr>
          <w:rFonts w:ascii="Arial" w:hAnsi="Arial" w:cs="Arial"/>
        </w:rPr>
        <w:t>Assistants IA internes qui interrogent la base ERP Oracle en langage naturel via Select AI — cas documenté : un commercial peut poser "Quels clients n'ont pas commandé depuis 3 mois ?" sans écrire de SQL.</w:t>
      </w:r>
    </w:p>
    <w:p w14:paraId="0D79E814" w14:textId="77777777" w:rsidR="00CC3E4E" w:rsidRDefault="00CC3E4E" w:rsidP="00CA64E6">
      <w:pPr>
        <w:spacing w:before="60" w:after="80" w:line="360" w:lineRule="auto"/>
        <w:jc w:val="both"/>
        <w:rPr>
          <w:rFonts w:ascii="Arial" w:hAnsi="Arial" w:cs="Arial"/>
        </w:rPr>
      </w:pPr>
    </w:p>
    <w:p w14:paraId="70DDD87B" w14:textId="77777777" w:rsidR="00CC3E4E" w:rsidRDefault="00CC3E4E" w:rsidP="00CA64E6">
      <w:pPr>
        <w:spacing w:before="60" w:after="80" w:line="360" w:lineRule="auto"/>
        <w:jc w:val="both"/>
        <w:rPr>
          <w:rFonts w:ascii="Arial" w:hAnsi="Arial" w:cs="Arial"/>
        </w:rPr>
      </w:pPr>
    </w:p>
    <w:p w14:paraId="3F536348" w14:textId="77777777" w:rsidR="00CC3E4E" w:rsidRDefault="00CC3E4E" w:rsidP="00CA64E6">
      <w:pPr>
        <w:spacing w:before="60" w:after="80" w:line="360" w:lineRule="auto"/>
        <w:jc w:val="both"/>
        <w:rPr>
          <w:rFonts w:ascii="Arial" w:hAnsi="Arial" w:cs="Arial"/>
        </w:rPr>
      </w:pPr>
    </w:p>
    <w:p w14:paraId="1BD2AB91" w14:textId="77777777" w:rsidR="00CC3E4E" w:rsidRDefault="00CC3E4E" w:rsidP="00CA64E6">
      <w:pPr>
        <w:spacing w:before="60" w:after="80" w:line="360" w:lineRule="auto"/>
        <w:jc w:val="both"/>
        <w:rPr>
          <w:rFonts w:ascii="Arial" w:hAnsi="Arial" w:cs="Arial"/>
        </w:rPr>
      </w:pPr>
    </w:p>
    <w:p w14:paraId="0CD431B3" w14:textId="77777777" w:rsidR="00CC3E4E" w:rsidRDefault="00CC3E4E" w:rsidP="00CA64E6">
      <w:pPr>
        <w:spacing w:before="60" w:after="80" w:line="360" w:lineRule="auto"/>
        <w:jc w:val="both"/>
        <w:rPr>
          <w:rFonts w:ascii="Arial" w:hAnsi="Arial" w:cs="Arial"/>
        </w:rPr>
      </w:pPr>
    </w:p>
    <w:p w14:paraId="211E826A" w14:textId="77777777" w:rsidR="00CC3E4E" w:rsidRPr="00CA64E6" w:rsidRDefault="00CC3E4E" w:rsidP="00CA64E6">
      <w:pPr>
        <w:spacing w:before="60" w:after="80" w:line="360" w:lineRule="auto"/>
        <w:jc w:val="both"/>
        <w:rPr>
          <w:rFonts w:ascii="Arial" w:hAnsi="Arial" w:cs="Arial"/>
        </w:rPr>
      </w:pPr>
    </w:p>
    <w:p w14:paraId="363D6356" w14:textId="77777777" w:rsidR="00523C1E" w:rsidRPr="00CA64E6" w:rsidRDefault="001E2C20" w:rsidP="00CA64E6">
      <w:pPr>
        <w:spacing w:before="280" w:after="120" w:line="360" w:lineRule="auto"/>
        <w:rPr>
          <w:rFonts w:ascii="Arial" w:hAnsi="Arial" w:cs="Arial"/>
        </w:rPr>
      </w:pPr>
      <w:r>
        <w:rPr>
          <w:rFonts w:ascii="Arial" w:hAnsi="Arial" w:cs="Arial"/>
          <w:b/>
          <w:bCs/>
          <w:color w:val="FF6B00"/>
          <w:sz w:val="22"/>
          <w:szCs w:val="22"/>
        </w:rPr>
        <w:lastRenderedPageBreak/>
        <w:t>5. ESPRIT CRITIQUE</w:t>
      </w:r>
    </w:p>
    <w:p w14:paraId="6C18AD1C" w14:textId="77777777" w:rsidR="00523C1E" w:rsidRPr="00CA64E6" w:rsidRDefault="001E2C20" w:rsidP="00CA64E6">
      <w:pPr>
        <w:spacing w:before="280" w:after="120" w:line="360" w:lineRule="auto"/>
        <w:rPr>
          <w:rFonts w:ascii="Arial" w:hAnsi="Arial" w:cs="Arial"/>
        </w:rPr>
      </w:pPr>
      <w:r>
        <w:rPr>
          <w:rFonts w:ascii="Arial" w:hAnsi="Arial" w:cs="Arial"/>
          <w:b/>
          <w:bCs/>
          <w:sz w:val="18"/>
          <w:szCs w:val="18"/>
        </w:rPr>
        <w:t>Ce que j'ai trouvé convaincant :</w:t>
      </w:r>
    </w:p>
    <w:p w14:paraId="09B60755" w14:textId="77777777" w:rsidR="00523C1E" w:rsidRDefault="001E2C20" w:rsidP="00CA64E6">
      <w:pPr>
        <w:spacing w:before="60" w:after="80" w:line="360" w:lineRule="auto"/>
        <w:jc w:val="both"/>
        <w:rPr>
          <w:rFonts w:ascii="Arial" w:hAnsi="Arial" w:cs="Arial"/>
        </w:rPr>
      </w:pPr>
      <w:r>
        <w:rPr>
          <w:rFonts w:ascii="Arial" w:hAnsi="Arial" w:cs="Arial"/>
        </w:rPr>
        <w:t>La date du 27 janvier 2026 est précise, officielle et vérifiable directement sur blogs.oracle.com/database. L'inclusion de l'AI Vector Search sans coût supplémentaire est un avantage concret face à MySQL HeatWave (cloud uniquement) ou PostgreSQL + pgvector (qui demande une configuration en plus). La compatibilité directe avec Oracle 19c — toujours la version Oracle la plus utilisée en entreprise — fait que cette évolution concerne directement des millions de systèmes en production.</w:t>
      </w:r>
    </w:p>
    <w:p w14:paraId="2743FA9B" w14:textId="77777777" w:rsidR="00523C1E" w:rsidRPr="00CA64E6" w:rsidRDefault="001E2C20" w:rsidP="00CA64E6">
      <w:pPr>
        <w:spacing w:before="280" w:after="120" w:line="360" w:lineRule="auto"/>
        <w:rPr>
          <w:rFonts w:ascii="Arial" w:hAnsi="Arial" w:cs="Arial"/>
        </w:rPr>
      </w:pPr>
      <w:r>
        <w:rPr>
          <w:rFonts w:ascii="Arial" w:hAnsi="Arial" w:cs="Arial"/>
          <w:b/>
          <w:bCs/>
          <w:sz w:val="18"/>
          <w:szCs w:val="18"/>
        </w:rPr>
        <w:t>Ce qui mérite d'être remis en question :</w:t>
      </w:r>
    </w:p>
    <w:p w14:paraId="5BEBF36A" w14:textId="517E5E5D" w:rsidR="00523C1E" w:rsidRPr="00CA64E6" w:rsidRDefault="001E2C20" w:rsidP="00CA64E6">
      <w:pPr>
        <w:spacing w:before="60" w:after="80" w:line="360" w:lineRule="auto"/>
        <w:jc w:val="both"/>
        <w:rPr>
          <w:rFonts w:ascii="Arial" w:hAnsi="Arial" w:cs="Arial"/>
        </w:rPr>
      </w:pPr>
      <w:r>
        <w:rPr>
          <w:rFonts w:ascii="Arial" w:hAnsi="Arial" w:cs="Arial"/>
        </w:rPr>
        <w:t>Oracle est la source principale de ses propres annonces — le chiffre "plus de 300 nouvelles fonctionnalités" est un argument marketing. Sur le terrain, les DBA indépendants signalent que les agents IA intégrés sont encore récents et que leurs performances en production restent à mesurer sur des charges réelles. Par ailleurs, Select AI dépend d'API de modèles IA externes (OpenAI, Azure) : l'idée de "souveraineté totale des données" est donc partielle si on utilise un modèle IA hébergé à l'extérieur. Enfin, la licence Enterprise Edition reste chère, ce qui limite l'accès aux petites entreprises.</w:t>
      </w:r>
    </w:p>
    <w:p w14:paraId="05E61A6E" w14:textId="77777777" w:rsidR="00523C1E" w:rsidRPr="00CA64E6" w:rsidRDefault="001E2C20" w:rsidP="00CA64E6">
      <w:pPr>
        <w:spacing w:before="280" w:after="120" w:line="360" w:lineRule="auto"/>
        <w:rPr>
          <w:rFonts w:ascii="Arial" w:hAnsi="Arial" w:cs="Arial"/>
        </w:rPr>
      </w:pPr>
      <w:r>
        <w:rPr>
          <w:rFonts w:ascii="Arial" w:hAnsi="Arial" w:cs="Arial"/>
          <w:b/>
          <w:bCs/>
          <w:color w:val="FF6B00"/>
          <w:sz w:val="22"/>
          <w:szCs w:val="22"/>
        </w:rPr>
        <w:t>6. MON ANALYSE PERSONNELLE</w:t>
      </w:r>
    </w:p>
    <w:p w14:paraId="6790972B" w14:textId="77777777" w:rsidR="00523C1E" w:rsidRPr="00CA64E6" w:rsidRDefault="001E2C20" w:rsidP="00CA64E6">
      <w:pPr>
        <w:spacing w:before="60" w:after="80" w:line="360" w:lineRule="auto"/>
        <w:jc w:val="both"/>
        <w:rPr>
          <w:rFonts w:ascii="Arial" w:hAnsi="Arial" w:cs="Arial"/>
        </w:rPr>
      </w:pPr>
      <w:r>
        <w:rPr>
          <w:rFonts w:ascii="Arial" w:hAnsi="Arial" w:cs="Arial"/>
        </w:rPr>
        <w:t>Cette veille relie bien mes quatre veilles entre elles. Les BDD en mémoire (veille n°1) apportent la vitesse à Oracle True Cache. Le chiffrement homomorphe (veille n°2) fait écho au chiffrement quantique ML-KEM de 26ai. Les BDD vectorielles (veille n°3) se retrouvent intégrées directement via AI Vector Search. Oracle 26ai réunit ces trois technologies dans un seul produit prêt à l'emploi.</w:t>
      </w:r>
    </w:p>
    <w:p w14:paraId="31044914" w14:textId="77777777" w:rsidR="00523C1E" w:rsidRPr="00CA64E6" w:rsidRDefault="001E2C20" w:rsidP="00CA64E6">
      <w:pPr>
        <w:spacing w:before="60" w:after="80" w:line="360" w:lineRule="auto"/>
        <w:jc w:val="both"/>
        <w:rPr>
          <w:rFonts w:ascii="Arial" w:hAnsi="Arial" w:cs="Arial"/>
        </w:rPr>
      </w:pPr>
      <w:r>
        <w:rPr>
          <w:rFonts w:ascii="Arial" w:hAnsi="Arial" w:cs="Arial"/>
        </w:rPr>
        <w:t>En tant que futur développeur SLAM, cette évolution me concerne directement : JSON Relational Duality signifie qu’une même donnée peut être utilisée comme une table SQL dans mon backend Symfony ET comme un document JSON dans mon frontend Angular — sans dupliquer les données. GROUP BY ALL et uuidv7() (génération d’identifiants uniques ordonnés chronologiquement) sont des améliorations SQL que j’aurais utilisées dans TrajetEtCalories pour simplifier mes requêtes de calcul et de regroupement. Ce sont des fonctionnalités concrètes, réutilisables dès mon prochain projet.</w:t>
      </w:r>
    </w:p>
    <w:p w14:paraId="0C7452CB" w14:textId="77777777" w:rsidR="00523C1E" w:rsidRPr="00CA64E6" w:rsidRDefault="00523C1E" w:rsidP="00CA64E6">
      <w:pPr>
        <w:spacing w:after="80" w:line="360" w:lineRule="auto"/>
        <w:rPr>
          <w:rFonts w:ascii="Arial" w:hAnsi="Arial" w:cs="Arial"/>
        </w:rPr>
      </w:pPr>
    </w:p>
    <w:p w14:paraId="3848E995" w14:textId="09C6DC66" w:rsidR="00523C1E" w:rsidRPr="00CA64E6" w:rsidRDefault="001E2C20" w:rsidP="00CC3E4E">
      <w:pPr>
        <w:pBdr>
          <w:left w:val="single" w:sz="12" w:space="8" w:color="FF6B00"/>
        </w:pBdr>
        <w:spacing w:before="120" w:after="120" w:line="360" w:lineRule="auto"/>
        <w:ind w:left="200"/>
        <w:rPr>
          <w:rFonts w:ascii="Arial" w:hAnsi="Arial" w:cs="Arial"/>
        </w:rPr>
      </w:pPr>
      <w:r>
        <w:rPr>
          <w:rFonts w:ascii="Arial" w:hAnsi="Arial" w:cs="Arial"/>
          <w:i/>
          <w:iCs/>
        </w:rPr>
        <w:t>Oracle AI Database 26ai marque un tournant : le SGBD relationnel ne se contente plus de stocker des données structurées, il devient un moteur d’IA capable de lancer des tâches intelligentes directement en SQL. Disponible on-premises depuis le 27 janvier 2026, cette version LTS offre aux entreprises qui doivent garder leurs données en interne les mêmes capacités IA que le cloud — avec chiffrement résistant aux ordinateurs quantiques en bonus. Dans un contexte où le RGPD et l’AI Act (règlement européen sur l’IA) obligent à conserver les données sensibles sur ses propres serveurs, savoir utiliser une base de données avec IA intégrée comme Oracle 26ai est un vrai atout pour le développeur SLAM de demain.</w:t>
      </w:r>
    </w:p>
    <w:p w14:paraId="6035DB82" w14:textId="77777777" w:rsidR="00523C1E" w:rsidRPr="00CA64E6" w:rsidRDefault="001E2C20" w:rsidP="00CA64E6">
      <w:pPr>
        <w:spacing w:before="280" w:after="120" w:line="360" w:lineRule="auto"/>
        <w:rPr>
          <w:rFonts w:ascii="Arial" w:hAnsi="Arial" w:cs="Arial"/>
        </w:rPr>
      </w:pPr>
      <w:r>
        <w:rPr>
          <w:rFonts w:ascii="Arial" w:hAnsi="Arial" w:cs="Arial"/>
          <w:b/>
          <w:bCs/>
          <w:color w:val="FF6B00"/>
          <w:sz w:val="22"/>
          <w:szCs w:val="22"/>
        </w:rPr>
        <w:t>7. SOURCES CONSULTÉES (FORMAT APA)</w:t>
      </w:r>
    </w:p>
    <w:tbl>
      <w:tblPr>
        <w:tblW w:w="11057"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563"/>
        <w:gridCol w:w="3189"/>
        <w:gridCol w:w="794"/>
        <w:gridCol w:w="5511"/>
      </w:tblGrid>
      <w:tr w:rsidR="00523C1E" w:rsidRPr="00CA64E6" w14:paraId="10382FF0" w14:textId="77777777" w:rsidTr="00CC3E4E">
        <w:tc>
          <w:tcPr>
            <w:tcW w:w="1563" w:type="dxa"/>
            <w:tcBorders>
              <w:top w:val="single" w:sz="4" w:space="0" w:color="CCCCCC"/>
              <w:left w:val="single" w:sz="4" w:space="0" w:color="CCCCCC"/>
              <w:bottom w:val="single" w:sz="4" w:space="0" w:color="CCCCCC"/>
              <w:right w:val="single" w:sz="4" w:space="0" w:color="CCCCCC"/>
            </w:tcBorders>
            <w:shd w:val="clear" w:color="auto" w:fill="D9D9D9"/>
            <w:tcMar>
              <w:top w:w="80" w:type="dxa"/>
              <w:left w:w="120" w:type="dxa"/>
              <w:bottom w:w="80" w:type="dxa"/>
              <w:right w:w="120" w:type="dxa"/>
            </w:tcMar>
          </w:tcPr>
          <w:p w14:paraId="0D32F707" w14:textId="77777777" w:rsidR="00523C1E" w:rsidRPr="00CA64E6" w:rsidRDefault="001E2C20" w:rsidP="00CA64E6">
            <w:pPr>
              <w:spacing w:line="360" w:lineRule="auto"/>
              <w:rPr>
                <w:rFonts w:ascii="Arial" w:hAnsi="Arial" w:cs="Arial"/>
              </w:rPr>
            </w:pPr>
            <w:r>
              <w:rPr>
                <w:rFonts w:ascii="Arial" w:hAnsi="Arial" w:cs="Arial"/>
                <w:b/>
                <w:bCs/>
                <w:sz w:val="16"/>
                <w:szCs w:val="16"/>
              </w:rPr>
              <w:t>Source</w:t>
            </w:r>
          </w:p>
        </w:tc>
        <w:tc>
          <w:tcPr>
            <w:tcW w:w="3189" w:type="dxa"/>
            <w:tcBorders>
              <w:top w:val="single" w:sz="4" w:space="0" w:color="CCCCCC"/>
              <w:left w:val="single" w:sz="4" w:space="0" w:color="CCCCCC"/>
              <w:bottom w:val="single" w:sz="4" w:space="0" w:color="CCCCCC"/>
              <w:right w:val="single" w:sz="4" w:space="0" w:color="CCCCCC"/>
            </w:tcBorders>
            <w:shd w:val="clear" w:color="auto" w:fill="D9D9D9"/>
            <w:tcMar>
              <w:top w:w="80" w:type="dxa"/>
              <w:left w:w="120" w:type="dxa"/>
              <w:bottom w:w="80" w:type="dxa"/>
              <w:right w:w="120" w:type="dxa"/>
            </w:tcMar>
          </w:tcPr>
          <w:p w14:paraId="773B7120" w14:textId="77777777" w:rsidR="00523C1E" w:rsidRPr="00CA64E6" w:rsidRDefault="001E2C20" w:rsidP="00CA64E6">
            <w:pPr>
              <w:spacing w:line="360" w:lineRule="auto"/>
              <w:rPr>
                <w:rFonts w:ascii="Arial" w:hAnsi="Arial" w:cs="Arial"/>
              </w:rPr>
            </w:pPr>
            <w:r>
              <w:rPr>
                <w:rFonts w:ascii="Arial" w:hAnsi="Arial" w:cs="Arial"/>
                <w:b/>
                <w:bCs/>
                <w:sz w:val="16"/>
                <w:szCs w:val="16"/>
              </w:rPr>
              <w:t>Titre de l'article</w:t>
            </w:r>
          </w:p>
        </w:tc>
        <w:tc>
          <w:tcPr>
            <w:tcW w:w="794" w:type="dxa"/>
            <w:tcBorders>
              <w:top w:val="single" w:sz="4" w:space="0" w:color="CCCCCC"/>
              <w:left w:val="single" w:sz="4" w:space="0" w:color="CCCCCC"/>
              <w:bottom w:val="single" w:sz="4" w:space="0" w:color="CCCCCC"/>
              <w:right w:val="single" w:sz="4" w:space="0" w:color="CCCCCC"/>
            </w:tcBorders>
            <w:shd w:val="clear" w:color="auto" w:fill="D9D9D9"/>
            <w:tcMar>
              <w:top w:w="80" w:type="dxa"/>
              <w:left w:w="120" w:type="dxa"/>
              <w:bottom w:w="80" w:type="dxa"/>
              <w:right w:w="120" w:type="dxa"/>
            </w:tcMar>
          </w:tcPr>
          <w:p w14:paraId="3E6FD18F" w14:textId="77777777" w:rsidR="00523C1E" w:rsidRPr="00CA64E6" w:rsidRDefault="001E2C20" w:rsidP="00CA64E6">
            <w:pPr>
              <w:spacing w:line="360" w:lineRule="auto"/>
              <w:rPr>
                <w:rFonts w:ascii="Arial" w:hAnsi="Arial" w:cs="Arial"/>
              </w:rPr>
            </w:pPr>
            <w:r>
              <w:rPr>
                <w:rFonts w:ascii="Arial" w:hAnsi="Arial" w:cs="Arial"/>
                <w:b/>
                <w:bCs/>
                <w:sz w:val="16"/>
                <w:szCs w:val="16"/>
              </w:rPr>
              <w:t>Date</w:t>
            </w:r>
          </w:p>
        </w:tc>
        <w:tc>
          <w:tcPr>
            <w:tcW w:w="5511" w:type="dxa"/>
            <w:tcBorders>
              <w:top w:val="single" w:sz="4" w:space="0" w:color="CCCCCC"/>
              <w:left w:val="single" w:sz="4" w:space="0" w:color="CCCCCC"/>
              <w:bottom w:val="single" w:sz="4" w:space="0" w:color="CCCCCC"/>
              <w:right w:val="single" w:sz="4" w:space="0" w:color="CCCCCC"/>
            </w:tcBorders>
            <w:shd w:val="clear" w:color="auto" w:fill="D9D9D9"/>
            <w:tcMar>
              <w:top w:w="80" w:type="dxa"/>
              <w:left w:w="120" w:type="dxa"/>
              <w:bottom w:w="80" w:type="dxa"/>
              <w:right w:w="120" w:type="dxa"/>
            </w:tcMar>
          </w:tcPr>
          <w:p w14:paraId="62C73B3B" w14:textId="77777777" w:rsidR="00523C1E" w:rsidRPr="00CA64E6" w:rsidRDefault="001E2C20" w:rsidP="00CA64E6">
            <w:pPr>
              <w:spacing w:line="360" w:lineRule="auto"/>
              <w:rPr>
                <w:rFonts w:ascii="Arial" w:hAnsi="Arial" w:cs="Arial"/>
              </w:rPr>
            </w:pPr>
            <w:r>
              <w:rPr>
                <w:rFonts w:ascii="Arial" w:hAnsi="Arial" w:cs="Arial"/>
                <w:b/>
                <w:bCs/>
                <w:sz w:val="16"/>
                <w:szCs w:val="16"/>
              </w:rPr>
              <w:t>Lien</w:t>
            </w:r>
          </w:p>
        </w:tc>
      </w:tr>
      <w:tr w:rsidR="00523C1E" w:rsidRPr="00CA64E6" w14:paraId="6A18BD20" w14:textId="77777777" w:rsidTr="00CC3E4E">
        <w:tc>
          <w:tcPr>
            <w:tcW w:w="1563"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5693B412" w14:textId="77777777" w:rsidR="00523C1E" w:rsidRPr="00CA64E6" w:rsidRDefault="001E2C20" w:rsidP="00CA64E6">
            <w:pPr>
              <w:spacing w:line="360" w:lineRule="auto"/>
              <w:rPr>
                <w:rFonts w:ascii="Arial" w:hAnsi="Arial" w:cs="Arial"/>
              </w:rPr>
            </w:pPr>
            <w:r>
              <w:rPr>
                <w:rFonts w:ascii="Arial" w:hAnsi="Arial" w:cs="Arial"/>
                <w:sz w:val="15"/>
                <w:szCs w:val="15"/>
              </w:rPr>
              <w:t>Oracle Blog (officiel)</w:t>
            </w:r>
          </w:p>
        </w:tc>
        <w:tc>
          <w:tcPr>
            <w:tcW w:w="3189"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7B7004FB" w14:textId="77777777" w:rsidR="00523C1E" w:rsidRPr="00CA64E6" w:rsidRDefault="001E2C20" w:rsidP="00CA64E6">
            <w:pPr>
              <w:spacing w:line="360" w:lineRule="auto"/>
              <w:rPr>
                <w:rFonts w:ascii="Arial" w:hAnsi="Arial" w:cs="Arial"/>
              </w:rPr>
            </w:pPr>
            <w:r>
              <w:rPr>
                <w:rFonts w:ascii="Arial" w:hAnsi="Arial" w:cs="Arial"/>
                <w:sz w:val="15"/>
                <w:szCs w:val="15"/>
              </w:rPr>
              <w:t>GA of Oracle AI Database 26ai for Linux x86-64 on-premises platforms</w:t>
            </w:r>
          </w:p>
        </w:tc>
        <w:tc>
          <w:tcPr>
            <w:tcW w:w="794"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37C0759" w14:textId="77777777" w:rsidR="00523C1E" w:rsidRPr="00CA64E6" w:rsidRDefault="001E2C20" w:rsidP="00CA64E6">
            <w:pPr>
              <w:spacing w:line="360" w:lineRule="auto"/>
              <w:rPr>
                <w:rFonts w:ascii="Arial" w:hAnsi="Arial" w:cs="Arial"/>
              </w:rPr>
            </w:pPr>
            <w:r>
              <w:rPr>
                <w:rFonts w:ascii="Arial" w:hAnsi="Arial" w:cs="Arial"/>
                <w:sz w:val="15"/>
                <w:szCs w:val="15"/>
              </w:rPr>
              <w:t>27 janv. 2026</w:t>
            </w:r>
          </w:p>
        </w:tc>
        <w:tc>
          <w:tcPr>
            <w:tcW w:w="5511"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832A60B" w14:textId="77777777" w:rsidR="00523C1E" w:rsidRPr="00CA64E6" w:rsidRDefault="001E2C20" w:rsidP="00CA64E6">
            <w:pPr>
              <w:spacing w:line="360" w:lineRule="auto"/>
              <w:rPr>
                <w:rFonts w:ascii="Arial" w:hAnsi="Arial" w:cs="Arial"/>
              </w:rPr>
            </w:pPr>
            <w:r>
              <w:rPr>
                <w:rFonts w:ascii="Arial" w:hAnsi="Arial" w:cs="Arial"/>
                <w:sz w:val="15"/>
                <w:szCs w:val="15"/>
              </w:rPr>
              <w:t>blogs.oracle.com/database/ga-of-oracle-ai-database-26ai-for-linux-x86-64-on-premises-platforms</w:t>
            </w:r>
          </w:p>
        </w:tc>
      </w:tr>
      <w:tr w:rsidR="00523C1E" w:rsidRPr="00CA64E6" w14:paraId="79DB63FB" w14:textId="77777777" w:rsidTr="00CC3E4E">
        <w:tc>
          <w:tcPr>
            <w:tcW w:w="1563" w:type="dxa"/>
            <w:tcBorders>
              <w:top w:val="single" w:sz="4" w:space="0" w:color="CCCCCC"/>
              <w:left w:val="single" w:sz="4" w:space="0" w:color="CCCCCC"/>
              <w:bottom w:val="single" w:sz="4" w:space="0" w:color="CCCCCC"/>
              <w:right w:val="single" w:sz="4" w:space="0" w:color="CCCCCC"/>
            </w:tcBorders>
            <w:shd w:val="clear" w:color="auto" w:fill="EDEDED"/>
            <w:tcMar>
              <w:top w:w="80" w:type="dxa"/>
              <w:left w:w="120" w:type="dxa"/>
              <w:bottom w:w="80" w:type="dxa"/>
              <w:right w:w="120" w:type="dxa"/>
            </w:tcMar>
          </w:tcPr>
          <w:p w14:paraId="521C5941" w14:textId="77777777" w:rsidR="00523C1E" w:rsidRPr="00CA64E6" w:rsidRDefault="001E2C20" w:rsidP="00CA64E6">
            <w:pPr>
              <w:spacing w:line="360" w:lineRule="auto"/>
              <w:rPr>
                <w:rFonts w:ascii="Arial" w:hAnsi="Arial" w:cs="Arial"/>
              </w:rPr>
            </w:pPr>
            <w:r>
              <w:rPr>
                <w:rFonts w:ascii="Arial" w:hAnsi="Arial" w:cs="Arial"/>
                <w:sz w:val="15"/>
                <w:szCs w:val="15"/>
              </w:rPr>
              <w:t>Oracle Blog (officiel)</w:t>
            </w:r>
          </w:p>
        </w:tc>
        <w:tc>
          <w:tcPr>
            <w:tcW w:w="3189" w:type="dxa"/>
            <w:tcBorders>
              <w:top w:val="single" w:sz="4" w:space="0" w:color="CCCCCC"/>
              <w:left w:val="single" w:sz="4" w:space="0" w:color="CCCCCC"/>
              <w:bottom w:val="single" w:sz="4" w:space="0" w:color="CCCCCC"/>
              <w:right w:val="single" w:sz="4" w:space="0" w:color="CCCCCC"/>
            </w:tcBorders>
            <w:shd w:val="clear" w:color="auto" w:fill="EDEDED"/>
            <w:tcMar>
              <w:top w:w="80" w:type="dxa"/>
              <w:left w:w="120" w:type="dxa"/>
              <w:bottom w:w="80" w:type="dxa"/>
              <w:right w:w="120" w:type="dxa"/>
            </w:tcMar>
          </w:tcPr>
          <w:p w14:paraId="2498EA48" w14:textId="77777777" w:rsidR="00523C1E" w:rsidRPr="00CA64E6" w:rsidRDefault="001E2C20" w:rsidP="00CA64E6">
            <w:pPr>
              <w:spacing w:line="360" w:lineRule="auto"/>
              <w:rPr>
                <w:rFonts w:ascii="Arial" w:hAnsi="Arial" w:cs="Arial"/>
              </w:rPr>
            </w:pPr>
            <w:r>
              <w:rPr>
                <w:rFonts w:ascii="Arial" w:hAnsi="Arial" w:cs="Arial"/>
                <w:sz w:val="15"/>
                <w:szCs w:val="15"/>
              </w:rPr>
              <w:t>Introducing Oracle AI Database 26ai: Next-Gen AI-Native Database</w:t>
            </w:r>
          </w:p>
        </w:tc>
        <w:tc>
          <w:tcPr>
            <w:tcW w:w="794" w:type="dxa"/>
            <w:tcBorders>
              <w:top w:val="single" w:sz="4" w:space="0" w:color="CCCCCC"/>
              <w:left w:val="single" w:sz="4" w:space="0" w:color="CCCCCC"/>
              <w:bottom w:val="single" w:sz="4" w:space="0" w:color="CCCCCC"/>
              <w:right w:val="single" w:sz="4" w:space="0" w:color="CCCCCC"/>
            </w:tcBorders>
            <w:shd w:val="clear" w:color="auto" w:fill="EDEDED"/>
            <w:tcMar>
              <w:top w:w="80" w:type="dxa"/>
              <w:left w:w="120" w:type="dxa"/>
              <w:bottom w:w="80" w:type="dxa"/>
              <w:right w:w="120" w:type="dxa"/>
            </w:tcMar>
          </w:tcPr>
          <w:p w14:paraId="19609391" w14:textId="77777777" w:rsidR="00523C1E" w:rsidRPr="00CA64E6" w:rsidRDefault="001E2C20" w:rsidP="00CA64E6">
            <w:pPr>
              <w:spacing w:line="360" w:lineRule="auto"/>
              <w:rPr>
                <w:rFonts w:ascii="Arial" w:hAnsi="Arial" w:cs="Arial"/>
              </w:rPr>
            </w:pPr>
            <w:r>
              <w:rPr>
                <w:rFonts w:ascii="Arial" w:hAnsi="Arial" w:cs="Arial"/>
                <w:sz w:val="15"/>
                <w:szCs w:val="15"/>
              </w:rPr>
              <w:t>Janv. 2026</w:t>
            </w:r>
          </w:p>
        </w:tc>
        <w:tc>
          <w:tcPr>
            <w:tcW w:w="5511" w:type="dxa"/>
            <w:tcBorders>
              <w:top w:val="single" w:sz="4" w:space="0" w:color="CCCCCC"/>
              <w:left w:val="single" w:sz="4" w:space="0" w:color="CCCCCC"/>
              <w:bottom w:val="single" w:sz="4" w:space="0" w:color="CCCCCC"/>
              <w:right w:val="single" w:sz="4" w:space="0" w:color="CCCCCC"/>
            </w:tcBorders>
            <w:shd w:val="clear" w:color="auto" w:fill="EDEDED"/>
            <w:tcMar>
              <w:top w:w="80" w:type="dxa"/>
              <w:left w:w="120" w:type="dxa"/>
              <w:bottom w:w="80" w:type="dxa"/>
              <w:right w:w="120" w:type="dxa"/>
            </w:tcMar>
          </w:tcPr>
          <w:p w14:paraId="2909D920" w14:textId="77777777" w:rsidR="00523C1E" w:rsidRPr="00CA64E6" w:rsidRDefault="001E2C20" w:rsidP="00CA64E6">
            <w:pPr>
              <w:spacing w:line="360" w:lineRule="auto"/>
              <w:rPr>
                <w:rFonts w:ascii="Arial" w:hAnsi="Arial" w:cs="Arial"/>
              </w:rPr>
            </w:pPr>
            <w:r>
              <w:rPr>
                <w:rFonts w:ascii="Arial" w:hAnsi="Arial" w:cs="Arial"/>
                <w:sz w:val="15"/>
                <w:szCs w:val="15"/>
              </w:rPr>
              <w:t>blogs.oracle.com/database/oracle-announces-oracle-ai-database-26ai</w:t>
            </w:r>
          </w:p>
        </w:tc>
      </w:tr>
      <w:tr w:rsidR="00523C1E" w:rsidRPr="00CA64E6" w14:paraId="65CDBB21" w14:textId="77777777" w:rsidTr="00CC3E4E">
        <w:tc>
          <w:tcPr>
            <w:tcW w:w="1563"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70979FB3" w14:textId="77777777" w:rsidR="00523C1E" w:rsidRPr="00CA64E6" w:rsidRDefault="001E2C20" w:rsidP="00CA64E6">
            <w:pPr>
              <w:spacing w:line="360" w:lineRule="auto"/>
              <w:rPr>
                <w:rFonts w:ascii="Arial" w:hAnsi="Arial" w:cs="Arial"/>
              </w:rPr>
            </w:pPr>
            <w:r>
              <w:rPr>
                <w:rFonts w:ascii="Arial" w:hAnsi="Arial" w:cs="Arial"/>
                <w:sz w:val="15"/>
                <w:szCs w:val="15"/>
              </w:rPr>
              <w:t>DBTA</w:t>
            </w:r>
          </w:p>
        </w:tc>
        <w:tc>
          <w:tcPr>
            <w:tcW w:w="3189"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3D6781D" w14:textId="77777777" w:rsidR="00523C1E" w:rsidRPr="00CA64E6" w:rsidRDefault="001E2C20" w:rsidP="00CA64E6">
            <w:pPr>
              <w:spacing w:line="360" w:lineRule="auto"/>
              <w:rPr>
                <w:rFonts w:ascii="Arial" w:hAnsi="Arial" w:cs="Arial"/>
              </w:rPr>
            </w:pPr>
            <w:r>
              <w:rPr>
                <w:rFonts w:ascii="Arial" w:hAnsi="Arial" w:cs="Arial"/>
                <w:sz w:val="15"/>
                <w:szCs w:val="15"/>
              </w:rPr>
              <w:t>Oracle AI Database 26ai for Linux x86-64 On-Premises Platforms Is Now GA</w:t>
            </w:r>
          </w:p>
        </w:tc>
        <w:tc>
          <w:tcPr>
            <w:tcW w:w="794"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55CA9B2B" w14:textId="77777777" w:rsidR="00523C1E" w:rsidRPr="00CA64E6" w:rsidRDefault="001E2C20" w:rsidP="00CA64E6">
            <w:pPr>
              <w:spacing w:line="360" w:lineRule="auto"/>
              <w:rPr>
                <w:rFonts w:ascii="Arial" w:hAnsi="Arial" w:cs="Arial"/>
              </w:rPr>
            </w:pPr>
            <w:r>
              <w:rPr>
                <w:rFonts w:ascii="Arial" w:hAnsi="Arial" w:cs="Arial"/>
                <w:sz w:val="15"/>
                <w:szCs w:val="15"/>
              </w:rPr>
              <w:t>4 fév. 2026</w:t>
            </w:r>
          </w:p>
        </w:tc>
        <w:tc>
          <w:tcPr>
            <w:tcW w:w="5511"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58AFA805" w14:textId="77777777" w:rsidR="00523C1E" w:rsidRPr="00CA64E6" w:rsidRDefault="001E2C20" w:rsidP="00CA64E6">
            <w:pPr>
              <w:spacing w:line="360" w:lineRule="auto"/>
              <w:rPr>
                <w:rFonts w:ascii="Arial" w:hAnsi="Arial" w:cs="Arial"/>
              </w:rPr>
            </w:pPr>
            <w:r>
              <w:rPr>
                <w:rFonts w:ascii="Arial" w:hAnsi="Arial" w:cs="Arial"/>
                <w:sz w:val="15"/>
                <w:szCs w:val="15"/>
              </w:rPr>
              <w:t>dbta.com/Editorial/News-Flashes/Oracle-AI-Database-26ai-for-Linux-x86-64-On-Premises-Platforms-Is-Now-Generally-Available-173339.aspx</w:t>
            </w:r>
          </w:p>
        </w:tc>
      </w:tr>
      <w:tr w:rsidR="00523C1E" w:rsidRPr="00CA64E6" w14:paraId="4F72D9CD" w14:textId="77777777" w:rsidTr="00CC3E4E">
        <w:tc>
          <w:tcPr>
            <w:tcW w:w="1563" w:type="dxa"/>
            <w:tcBorders>
              <w:top w:val="single" w:sz="4" w:space="0" w:color="CCCCCC"/>
              <w:left w:val="single" w:sz="4" w:space="0" w:color="CCCCCC"/>
              <w:bottom w:val="single" w:sz="4" w:space="0" w:color="CCCCCC"/>
              <w:right w:val="single" w:sz="4" w:space="0" w:color="CCCCCC"/>
            </w:tcBorders>
            <w:shd w:val="clear" w:color="auto" w:fill="EDEDED"/>
            <w:tcMar>
              <w:top w:w="80" w:type="dxa"/>
              <w:left w:w="120" w:type="dxa"/>
              <w:bottom w:w="80" w:type="dxa"/>
              <w:right w:w="120" w:type="dxa"/>
            </w:tcMar>
          </w:tcPr>
          <w:p w14:paraId="2090CFBC" w14:textId="77777777" w:rsidR="00523C1E" w:rsidRPr="00CA64E6" w:rsidRDefault="001E2C20" w:rsidP="00CA64E6">
            <w:pPr>
              <w:spacing w:line="360" w:lineRule="auto"/>
              <w:rPr>
                <w:rFonts w:ascii="Arial" w:hAnsi="Arial" w:cs="Arial"/>
              </w:rPr>
            </w:pPr>
            <w:r>
              <w:rPr>
                <w:rFonts w:ascii="Arial" w:hAnsi="Arial" w:cs="Arial"/>
                <w:sz w:val="15"/>
                <w:szCs w:val="15"/>
              </w:rPr>
              <w:t>DBAInsight</w:t>
            </w:r>
          </w:p>
        </w:tc>
        <w:tc>
          <w:tcPr>
            <w:tcW w:w="3189" w:type="dxa"/>
            <w:tcBorders>
              <w:top w:val="single" w:sz="4" w:space="0" w:color="CCCCCC"/>
              <w:left w:val="single" w:sz="4" w:space="0" w:color="CCCCCC"/>
              <w:bottom w:val="single" w:sz="4" w:space="0" w:color="CCCCCC"/>
              <w:right w:val="single" w:sz="4" w:space="0" w:color="CCCCCC"/>
            </w:tcBorders>
            <w:shd w:val="clear" w:color="auto" w:fill="EDEDED"/>
            <w:tcMar>
              <w:top w:w="80" w:type="dxa"/>
              <w:left w:w="120" w:type="dxa"/>
              <w:bottom w:w="80" w:type="dxa"/>
              <w:right w:w="120" w:type="dxa"/>
            </w:tcMar>
          </w:tcPr>
          <w:p w14:paraId="6E7E249A" w14:textId="77777777" w:rsidR="00523C1E" w:rsidRPr="00CA64E6" w:rsidRDefault="001E2C20" w:rsidP="00CA64E6">
            <w:pPr>
              <w:spacing w:line="360" w:lineRule="auto"/>
              <w:rPr>
                <w:rFonts w:ascii="Arial" w:hAnsi="Arial" w:cs="Arial"/>
              </w:rPr>
            </w:pPr>
            <w:r>
              <w:rPr>
                <w:rFonts w:ascii="Arial" w:hAnsi="Arial" w:cs="Arial"/>
                <w:sz w:val="15"/>
                <w:szCs w:val="15"/>
              </w:rPr>
              <w:t>Oracle AI Database 26ai New Features: AI Vector Search, SQL Enhancements &amp; More</w:t>
            </w:r>
          </w:p>
        </w:tc>
        <w:tc>
          <w:tcPr>
            <w:tcW w:w="794" w:type="dxa"/>
            <w:tcBorders>
              <w:top w:val="single" w:sz="4" w:space="0" w:color="CCCCCC"/>
              <w:left w:val="single" w:sz="4" w:space="0" w:color="CCCCCC"/>
              <w:bottom w:val="single" w:sz="4" w:space="0" w:color="CCCCCC"/>
              <w:right w:val="single" w:sz="4" w:space="0" w:color="CCCCCC"/>
            </w:tcBorders>
            <w:shd w:val="clear" w:color="auto" w:fill="EDEDED"/>
            <w:tcMar>
              <w:top w:w="80" w:type="dxa"/>
              <w:left w:w="120" w:type="dxa"/>
              <w:bottom w:w="80" w:type="dxa"/>
              <w:right w:w="120" w:type="dxa"/>
            </w:tcMar>
          </w:tcPr>
          <w:p w14:paraId="784F28D2" w14:textId="77777777" w:rsidR="00523C1E" w:rsidRPr="00CA64E6" w:rsidRDefault="001E2C20" w:rsidP="00CA64E6">
            <w:pPr>
              <w:spacing w:line="360" w:lineRule="auto"/>
              <w:rPr>
                <w:rFonts w:ascii="Arial" w:hAnsi="Arial" w:cs="Arial"/>
              </w:rPr>
            </w:pPr>
            <w:r>
              <w:rPr>
                <w:rFonts w:ascii="Arial" w:hAnsi="Arial" w:cs="Arial"/>
                <w:sz w:val="15"/>
                <w:szCs w:val="15"/>
              </w:rPr>
              <w:t>19 fév. 2026</w:t>
            </w:r>
          </w:p>
        </w:tc>
        <w:tc>
          <w:tcPr>
            <w:tcW w:w="5511" w:type="dxa"/>
            <w:tcBorders>
              <w:top w:val="single" w:sz="4" w:space="0" w:color="CCCCCC"/>
              <w:left w:val="single" w:sz="4" w:space="0" w:color="CCCCCC"/>
              <w:bottom w:val="single" w:sz="4" w:space="0" w:color="CCCCCC"/>
              <w:right w:val="single" w:sz="4" w:space="0" w:color="CCCCCC"/>
            </w:tcBorders>
            <w:shd w:val="clear" w:color="auto" w:fill="EDEDED"/>
            <w:tcMar>
              <w:top w:w="80" w:type="dxa"/>
              <w:left w:w="120" w:type="dxa"/>
              <w:bottom w:w="80" w:type="dxa"/>
              <w:right w:w="120" w:type="dxa"/>
            </w:tcMar>
          </w:tcPr>
          <w:p w14:paraId="0FDDEA51" w14:textId="77777777" w:rsidR="00523C1E" w:rsidRPr="00CA64E6" w:rsidRDefault="001E2C20" w:rsidP="00CA64E6">
            <w:pPr>
              <w:spacing w:line="360" w:lineRule="auto"/>
              <w:rPr>
                <w:rFonts w:ascii="Arial" w:hAnsi="Arial" w:cs="Arial"/>
              </w:rPr>
            </w:pPr>
            <w:r>
              <w:rPr>
                <w:rFonts w:ascii="Arial" w:hAnsi="Arial" w:cs="Arial"/>
                <w:sz w:val="15"/>
                <w:szCs w:val="15"/>
              </w:rPr>
              <w:t>dbainsight.com/2026/02/oracle-ai-database-26ai-new-features/</w:t>
            </w:r>
          </w:p>
        </w:tc>
      </w:tr>
      <w:tr w:rsidR="00523C1E" w:rsidRPr="00CA64E6" w14:paraId="3AC589BD" w14:textId="77777777" w:rsidTr="00CC3E4E">
        <w:tc>
          <w:tcPr>
            <w:tcW w:w="1563"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41A660B" w14:textId="77777777" w:rsidR="00523C1E" w:rsidRPr="00CA64E6" w:rsidRDefault="001E2C20" w:rsidP="00CA64E6">
            <w:pPr>
              <w:spacing w:line="360" w:lineRule="auto"/>
              <w:rPr>
                <w:rFonts w:ascii="Arial" w:hAnsi="Arial" w:cs="Arial"/>
              </w:rPr>
            </w:pPr>
            <w:r>
              <w:rPr>
                <w:rFonts w:ascii="Arial" w:hAnsi="Arial" w:cs="Arial"/>
                <w:sz w:val="15"/>
                <w:szCs w:val="15"/>
              </w:rPr>
              <w:t>Oracle Docs (officiel)</w:t>
            </w:r>
          </w:p>
        </w:tc>
        <w:tc>
          <w:tcPr>
            <w:tcW w:w="3189"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3C95BF0" w14:textId="77777777" w:rsidR="00523C1E" w:rsidRPr="00CA64E6" w:rsidRDefault="001E2C20" w:rsidP="00CA64E6">
            <w:pPr>
              <w:spacing w:line="360" w:lineRule="auto"/>
              <w:rPr>
                <w:rFonts w:ascii="Arial" w:hAnsi="Arial" w:cs="Arial"/>
              </w:rPr>
            </w:pPr>
            <w:r>
              <w:rPr>
                <w:rFonts w:ascii="Arial" w:hAnsi="Arial" w:cs="Arial"/>
                <w:sz w:val="15"/>
                <w:szCs w:val="15"/>
              </w:rPr>
              <w:t>Oracle AI Database New Features Release 26ai — G43730-07</w:t>
            </w:r>
          </w:p>
        </w:tc>
        <w:tc>
          <w:tcPr>
            <w:tcW w:w="794"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5ED8B28B" w14:textId="77777777" w:rsidR="00523C1E" w:rsidRPr="00CA64E6" w:rsidRDefault="001E2C20" w:rsidP="00CA64E6">
            <w:pPr>
              <w:spacing w:line="360" w:lineRule="auto"/>
              <w:rPr>
                <w:rFonts w:ascii="Arial" w:hAnsi="Arial" w:cs="Arial"/>
              </w:rPr>
            </w:pPr>
            <w:r>
              <w:rPr>
                <w:rFonts w:ascii="Arial" w:hAnsi="Arial" w:cs="Arial"/>
                <w:sz w:val="15"/>
                <w:szCs w:val="15"/>
              </w:rPr>
              <w:t>1er mai 2026</w:t>
            </w:r>
          </w:p>
        </w:tc>
        <w:tc>
          <w:tcPr>
            <w:tcW w:w="5511"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3A466CB7" w14:textId="634C539A" w:rsidR="00CC3E4E" w:rsidRPr="00CC3E4E" w:rsidRDefault="001E2C20" w:rsidP="00CA64E6">
            <w:pPr>
              <w:spacing w:line="360" w:lineRule="auto"/>
              <w:rPr>
                <w:rFonts w:ascii="Arial" w:hAnsi="Arial" w:cs="Arial"/>
                <w:sz w:val="15"/>
                <w:szCs w:val="15"/>
              </w:rPr>
            </w:pPr>
            <w:r>
              <w:rPr>
                <w:rFonts w:ascii="Arial" w:hAnsi="Arial" w:cs="Arial"/>
                <w:sz w:val="15"/>
                <w:szCs w:val="15"/>
              </w:rPr>
              <w:t>docs.oracle.com/en/</w:t>
            </w:r>
            <w:proofErr w:type="spellStart"/>
            <w:r>
              <w:rPr>
                <w:rFonts w:ascii="Arial" w:hAnsi="Arial" w:cs="Arial"/>
                <w:sz w:val="15"/>
                <w:szCs w:val="15"/>
              </w:rPr>
              <w:t>database</w:t>
            </w:r>
            <w:proofErr w:type="spellEnd"/>
            <w:r>
              <w:rPr>
                <w:rFonts w:ascii="Arial" w:hAnsi="Arial" w:cs="Arial"/>
                <w:sz w:val="15"/>
                <w:szCs w:val="15"/>
              </w:rPr>
              <w:t>/oracle/oracle-</w:t>
            </w:r>
            <w:proofErr w:type="spellStart"/>
            <w:r>
              <w:rPr>
                <w:rFonts w:ascii="Arial" w:hAnsi="Arial" w:cs="Arial"/>
                <w:sz w:val="15"/>
                <w:szCs w:val="15"/>
              </w:rPr>
              <w:t>database</w:t>
            </w:r>
            <w:proofErr w:type="spellEnd"/>
            <w:r>
              <w:rPr>
                <w:rFonts w:ascii="Arial" w:hAnsi="Arial" w:cs="Arial"/>
                <w:sz w:val="15"/>
                <w:szCs w:val="15"/>
              </w:rPr>
              <w:t>/26/</w:t>
            </w:r>
            <w:proofErr w:type="spellStart"/>
            <w:r>
              <w:rPr>
                <w:rFonts w:ascii="Arial" w:hAnsi="Arial" w:cs="Arial"/>
                <w:sz w:val="15"/>
                <w:szCs w:val="15"/>
              </w:rPr>
              <w:t>nfcoa</w:t>
            </w:r>
            <w:proofErr w:type="spellEnd"/>
            <w:r>
              <w:rPr>
                <w:rFonts w:ascii="Arial" w:hAnsi="Arial" w:cs="Arial"/>
                <w:sz w:val="15"/>
                <w:szCs w:val="15"/>
              </w:rPr>
              <w:t>/</w:t>
            </w:r>
          </w:p>
        </w:tc>
      </w:tr>
    </w:tbl>
    <w:p w14:paraId="4741E8A8" w14:textId="77777777" w:rsidR="00523C1E" w:rsidRPr="00CA64E6" w:rsidRDefault="00523C1E" w:rsidP="00CA64E6">
      <w:pPr>
        <w:spacing w:after="120" w:line="360" w:lineRule="auto"/>
        <w:rPr>
          <w:rFonts w:ascii="Arial" w:hAnsi="Arial" w:cs="Arial"/>
        </w:rPr>
      </w:pPr>
    </w:p>
    <w:sectPr w:rsidR="00523C1E" w:rsidRPr="00CA64E6">
      <w:headerReference w:type="default" r:id="rId7"/>
      <w:footerReference w:type="default" r:id="rId8"/>
      <w:pgSz w:w="11906" w:h="16838"/>
      <w:pgMar w:top="1000" w:right="1000" w:bottom="1000" w:left="100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792D4597" w14:textId="77777777" w:rsidR="00A06EA4" w:rsidRDefault="00A06EA4">
      <w:r>
        <w:separator/>
      </w:r>
    </w:p>
  </w:endnote>
  <w:endnote w:type="continuationSeparator" w:id="0">
    <w:p w14:paraId="4D908D8B" w14:textId="77777777" w:rsidR="00A06EA4" w:rsidRDefault="00A06E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Helvetica">
    <w:panose1 w:val="00000000000000000000"/>
    <w:charset w:val="00"/>
    <w:family w:val="auto"/>
    <w:pitch w:val="variable"/>
    <w:sig w:usb0="E00002FF" w:usb1="5000785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20AB9503" w14:textId="24A5786B" w:rsidR="00523C1E" w:rsidRDefault="001E2C20">
    <w:pPr>
      <w:pBdr>
        <w:top w:val="single" w:sz="4" w:space="6" w:color="CCCCCC"/>
      </w:pBdr>
      <w:tabs>
        <w:tab w:val="right" w:pos="9026"/>
      </w:tabs>
      <w:spacing w:before="80"/>
    </w:pPr>
    <w:r>
      <w:rPr>
        <w:color w:val="666666"/>
        <w:sz w:val="13"/>
        <w:szCs w:val="13"/>
      </w:rPr>
      <w:t xml:space="preserve">BTS SIO </w:t>
    </w:r>
    <w:proofErr w:type="gramStart"/>
    <w:r>
      <w:rPr>
        <w:color w:val="666666"/>
        <w:sz w:val="13"/>
        <w:szCs w:val="13"/>
      </w:rPr>
      <w:t>SLAM  —</w:t>
    </w:r>
    <w:proofErr w:type="gramEnd"/>
    <w:r>
      <w:rPr>
        <w:color w:val="666666"/>
        <w:sz w:val="13"/>
        <w:szCs w:val="13"/>
      </w:rPr>
      <w:t xml:space="preserve">  Campus Carlo Acutis</w:t>
    </w:r>
    <w:r>
      <w:rPr>
        <w:sz w:val="13"/>
        <w:szCs w:val="13"/>
      </w:rPr>
      <w:tab/>
    </w:r>
    <w:r>
      <w:rPr>
        <w:color w:val="666666"/>
        <w:sz w:val="13"/>
        <w:szCs w:val="13"/>
      </w:rPr>
      <w:t xml:space="preserve">Oracle AI </w:t>
    </w:r>
    <w:proofErr w:type="spellStart"/>
    <w:r>
      <w:rPr>
        <w:color w:val="666666"/>
        <w:sz w:val="13"/>
        <w:szCs w:val="13"/>
      </w:rPr>
      <w:t>Database</w:t>
    </w:r>
    <w:proofErr w:type="spellEnd"/>
    <w:r>
      <w:rPr>
        <w:color w:val="666666"/>
        <w:sz w:val="13"/>
        <w:szCs w:val="13"/>
      </w:rPr>
      <w:t xml:space="preserve"> 26</w:t>
    </w:r>
    <w:proofErr w:type="gramStart"/>
    <w:r>
      <w:rPr>
        <w:color w:val="666666"/>
        <w:sz w:val="13"/>
        <w:szCs w:val="13"/>
      </w:rPr>
      <w:t>ai  |</w:t>
    </w:r>
    <w:proofErr w:type="gramEnd"/>
    <w:r>
      <w:rPr>
        <w:color w:val="666666"/>
        <w:sz w:val="13"/>
        <w:szCs w:val="13"/>
      </w:rPr>
      <w:t xml:space="preserve">  Veille n°4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5CF976EF" w14:textId="77777777" w:rsidR="00A06EA4" w:rsidRDefault="00A06EA4">
      <w:r>
        <w:separator/>
      </w:r>
    </w:p>
  </w:footnote>
  <w:footnote w:type="continuationSeparator" w:id="0">
    <w:p w14:paraId="6BDAAA1E" w14:textId="77777777" w:rsidR="00A06EA4" w:rsidRDefault="00A06E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0140D19E" w14:textId="5113C524" w:rsidR="00523C1E" w:rsidRDefault="001E2C20">
    <w:pPr>
      <w:pBdr>
        <w:bottom w:val="single" w:sz="4" w:space="6" w:color="FF6B00"/>
      </w:pBdr>
      <w:tabs>
        <w:tab w:val="right" w:pos="9026"/>
      </w:tabs>
      <w:spacing w:after="80"/>
    </w:pPr>
    <w:r>
      <w:rPr>
        <w:b/>
        <w:bCs/>
        <w:color w:val="FF6B00"/>
        <w:sz w:val="14"/>
        <w:szCs w:val="14"/>
      </w:rPr>
      <w:t>CANIAUX ROMAIN</w:t>
    </w:r>
    <w:r>
      <w:rPr>
        <w:sz w:val="14"/>
        <w:szCs w:val="14"/>
      </w:rPr>
      <w:tab/>
    </w:r>
    <w:r w:rsidR="00C71892">
      <w:rPr>
        <w:sz w:val="14"/>
        <w:szCs w:val="14"/>
      </w:rPr>
      <w:t xml:space="preserve">      </w:t>
    </w:r>
    <w:r>
      <w:rPr>
        <w:color w:val="666666"/>
        <w:sz w:val="14"/>
        <w:szCs w:val="14"/>
      </w:rPr>
      <w:t xml:space="preserve">BTS SIO </w:t>
    </w:r>
    <w:proofErr w:type="gramStart"/>
    <w:r>
      <w:rPr>
        <w:color w:val="666666"/>
        <w:sz w:val="14"/>
        <w:szCs w:val="14"/>
      </w:rPr>
      <w:t>SLAM  ·</w:t>
    </w:r>
    <w:proofErr w:type="gramEnd"/>
    <w:r>
      <w:rPr>
        <w:color w:val="666666"/>
        <w:sz w:val="14"/>
        <w:szCs w:val="14"/>
      </w:rPr>
      <w:t xml:space="preserve">  CANIAUX </w:t>
    </w:r>
    <w:proofErr w:type="gramStart"/>
    <w:r>
      <w:rPr>
        <w:color w:val="666666"/>
        <w:sz w:val="14"/>
        <w:szCs w:val="14"/>
      </w:rPr>
      <w:t>Romain  ·</w:t>
    </w:r>
    <w:proofErr w:type="gramEnd"/>
    <w:r>
      <w:rPr>
        <w:color w:val="666666"/>
        <w:sz w:val="14"/>
        <w:szCs w:val="14"/>
      </w:rPr>
      <w:t xml:space="preserve">  Veille </w:t>
    </w:r>
    <w:proofErr w:type="gramStart"/>
    <w:r>
      <w:rPr>
        <w:color w:val="666666"/>
        <w:sz w:val="14"/>
        <w:szCs w:val="14"/>
      </w:rPr>
      <w:t>Technologique  ·</w:t>
    </w:r>
    <w:proofErr w:type="gramEnd"/>
    <w:r>
      <w:rPr>
        <w:color w:val="666666"/>
        <w:sz w:val="14"/>
        <w:szCs w:val="14"/>
      </w:rPr>
      <w:t xml:space="preserve">  11 </w:t>
    </w:r>
    <w:proofErr w:type="gramStart"/>
    <w:r>
      <w:rPr>
        <w:color w:val="666666"/>
        <w:sz w:val="14"/>
        <w:szCs w:val="14"/>
      </w:rPr>
      <w:t>Juin</w:t>
    </w:r>
    <w:proofErr w:type="gramEnd"/>
    <w:r>
      <w:rPr>
        <w:color w:val="666666"/>
        <w:sz w:val="14"/>
        <w:szCs w:val="14"/>
      </w:rPr>
      <w:t xml:space="preserve">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48FB78D0"/>
    <w:multiLevelType w:val="hybridMultilevel"/>
    <w:tmpl w:val="13FADCB4"/>
    <w:lvl w:ilvl="0" w:tplc="86C81C32">
      <w:start w:val="1"/>
      <w:numFmt w:val="bullet"/>
      <w:lvlText w:val="–"/>
      <w:lvlJc w:val="left"/>
      <w:pPr>
        <w:ind w:left="560" w:hanging="280"/>
      </w:pPr>
    </w:lvl>
    <w:lvl w:ilvl="1" w:tplc="17465E94">
      <w:numFmt w:val="decimal"/>
      <w:lvlText w:val=""/>
      <w:lvlJc w:val="left"/>
    </w:lvl>
    <w:lvl w:ilvl="2" w:tplc="ACB4E76A">
      <w:numFmt w:val="decimal"/>
      <w:lvlText w:val=""/>
      <w:lvlJc w:val="left"/>
    </w:lvl>
    <w:lvl w:ilvl="3" w:tplc="5DE2FF90">
      <w:numFmt w:val="decimal"/>
      <w:lvlText w:val=""/>
      <w:lvlJc w:val="left"/>
    </w:lvl>
    <w:lvl w:ilvl="4" w:tplc="FA7C1124">
      <w:numFmt w:val="decimal"/>
      <w:lvlText w:val=""/>
      <w:lvlJc w:val="left"/>
    </w:lvl>
    <w:lvl w:ilvl="5" w:tplc="E19468EC">
      <w:numFmt w:val="decimal"/>
      <w:lvlText w:val=""/>
      <w:lvlJc w:val="left"/>
    </w:lvl>
    <w:lvl w:ilvl="6" w:tplc="AAF030C6">
      <w:numFmt w:val="decimal"/>
      <w:lvlText w:val=""/>
      <w:lvlJc w:val="left"/>
    </w:lvl>
    <w:lvl w:ilvl="7" w:tplc="7390ECC2">
      <w:numFmt w:val="decimal"/>
      <w:lvlText w:val=""/>
      <w:lvlJc w:val="left"/>
    </w:lvl>
    <w:lvl w:ilvl="8" w:tplc="6B122ED2">
      <w:numFmt w:val="decimal"/>
      <w:lvlText w:val=""/>
      <w:lvlJc w:val="left"/>
    </w:lvl>
  </w:abstractNum>
  <w:abstractNum w:abstractNumId="1" w15:restartNumberingAfterBreak="0">
    <w:nsid w:val="53A51A70"/>
    <w:multiLevelType w:val="hybridMultilevel"/>
    <w:tmpl w:val="F3187CF0"/>
    <w:lvl w:ilvl="0" w:tplc="A9FCB814">
      <w:start w:val="1"/>
      <w:numFmt w:val="bullet"/>
      <w:lvlText w:val="●"/>
      <w:lvlJc w:val="left"/>
      <w:pPr>
        <w:ind w:left="720" w:hanging="360"/>
      </w:pPr>
    </w:lvl>
    <w:lvl w:ilvl="1" w:tplc="632E522E">
      <w:start w:val="1"/>
      <w:numFmt w:val="bullet"/>
      <w:lvlText w:val="○"/>
      <w:lvlJc w:val="left"/>
      <w:pPr>
        <w:ind w:left="1440" w:hanging="360"/>
      </w:pPr>
    </w:lvl>
    <w:lvl w:ilvl="2" w:tplc="117C1F14">
      <w:start w:val="1"/>
      <w:numFmt w:val="bullet"/>
      <w:lvlText w:val="■"/>
      <w:lvlJc w:val="left"/>
      <w:pPr>
        <w:ind w:left="2160" w:hanging="360"/>
      </w:pPr>
    </w:lvl>
    <w:lvl w:ilvl="3" w:tplc="C4C2E6CC">
      <w:start w:val="1"/>
      <w:numFmt w:val="bullet"/>
      <w:lvlText w:val="●"/>
      <w:lvlJc w:val="left"/>
      <w:pPr>
        <w:ind w:left="2880" w:hanging="360"/>
      </w:pPr>
    </w:lvl>
    <w:lvl w:ilvl="4" w:tplc="D7F2DCE6">
      <w:start w:val="1"/>
      <w:numFmt w:val="bullet"/>
      <w:lvlText w:val="○"/>
      <w:lvlJc w:val="left"/>
      <w:pPr>
        <w:ind w:left="3600" w:hanging="360"/>
      </w:pPr>
    </w:lvl>
    <w:lvl w:ilvl="5" w:tplc="EF6802B4">
      <w:start w:val="1"/>
      <w:numFmt w:val="bullet"/>
      <w:lvlText w:val="■"/>
      <w:lvlJc w:val="left"/>
      <w:pPr>
        <w:ind w:left="4320" w:hanging="360"/>
      </w:pPr>
    </w:lvl>
    <w:lvl w:ilvl="6" w:tplc="2A2AF29E">
      <w:start w:val="1"/>
      <w:numFmt w:val="bullet"/>
      <w:lvlText w:val="●"/>
      <w:lvlJc w:val="left"/>
      <w:pPr>
        <w:ind w:left="5040" w:hanging="360"/>
      </w:pPr>
    </w:lvl>
    <w:lvl w:ilvl="7" w:tplc="548E374E">
      <w:start w:val="1"/>
      <w:numFmt w:val="bullet"/>
      <w:lvlText w:val="●"/>
      <w:lvlJc w:val="left"/>
      <w:pPr>
        <w:ind w:left="5760" w:hanging="360"/>
      </w:pPr>
    </w:lvl>
    <w:lvl w:ilvl="8" w:tplc="3C923438">
      <w:start w:val="1"/>
      <w:numFmt w:val="bullet"/>
      <w:lvlText w:val="●"/>
      <w:lvlJc w:val="left"/>
      <w:pPr>
        <w:ind w:left="6480" w:hanging="360"/>
      </w:pPr>
    </w:lvl>
  </w:abstractNum>
  <w:num w:numId="1" w16cid:durableId="1000890624">
    <w:abstractNumId w:val="1"/>
    <w:lvlOverride w:ilvl="0">
      <w:startOverride w:val="1"/>
    </w:lvlOverride>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61"/>
  <w:displayBackgroundShape/>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3C1E"/>
    <w:rsid w:val="001662BF"/>
    <w:rsid w:val="00197AEF"/>
    <w:rsid w:val="001B7BFA"/>
    <w:rsid w:val="001E2C20"/>
    <w:rsid w:val="003614FB"/>
    <w:rsid w:val="00523C1E"/>
    <w:rsid w:val="005E4EE3"/>
    <w:rsid w:val="00880E94"/>
    <w:rsid w:val="00A06EA4"/>
    <w:rsid w:val="00C71892"/>
    <w:rsid w:val="00CA64E6"/>
    <w:rsid w:val="00CC3E4E"/>
    <w:rsid w:val="00DB777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70BAC3A0"/>
  <w15:docId w15:val="{CDF9AF9B-ED3B-1A43-83AC-F658E4E693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Helvetica" w:eastAsia="Helvetica" w:hAnsi="Helvetica" w:cs="Helvetica"/>
        <w:color w:val="1A1A1A"/>
        <w:sz w:val="17"/>
        <w:szCs w:val="17"/>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uiPriority w:val="9"/>
    <w:qFormat/>
    <w:pPr>
      <w:outlineLvl w:val="0"/>
    </w:pPr>
    <w:rPr>
      <w:color w:val="2E74B5"/>
      <w:sz w:val="32"/>
      <w:szCs w:val="32"/>
    </w:rPr>
  </w:style>
  <w:style w:type="paragraph" w:styleId="Titre2">
    <w:name w:val="heading 2"/>
    <w:uiPriority w:val="9"/>
    <w:semiHidden/>
    <w:unhideWhenUsed/>
    <w:qFormat/>
    <w:pPr>
      <w:outlineLvl w:val="1"/>
    </w:pPr>
    <w:rPr>
      <w:color w:val="2E74B5"/>
      <w:sz w:val="26"/>
      <w:szCs w:val="26"/>
    </w:rPr>
  </w:style>
  <w:style w:type="paragraph" w:styleId="Titre3">
    <w:name w:val="heading 3"/>
    <w:uiPriority w:val="9"/>
    <w:semiHidden/>
    <w:unhideWhenUsed/>
    <w:qFormat/>
    <w:pPr>
      <w:outlineLvl w:val="2"/>
    </w:pPr>
    <w:rPr>
      <w:color w:val="1F4D78"/>
      <w:sz w:val="24"/>
      <w:szCs w:val="24"/>
    </w:rPr>
  </w:style>
  <w:style w:type="paragraph" w:styleId="Titre4">
    <w:name w:val="heading 4"/>
    <w:uiPriority w:val="9"/>
    <w:semiHidden/>
    <w:unhideWhenUsed/>
    <w:qFormat/>
    <w:pPr>
      <w:outlineLvl w:val="3"/>
    </w:pPr>
    <w:rPr>
      <w:i/>
      <w:iCs/>
      <w:color w:val="2E74B5"/>
    </w:rPr>
  </w:style>
  <w:style w:type="paragraph" w:styleId="Titre5">
    <w:name w:val="heading 5"/>
    <w:uiPriority w:val="9"/>
    <w:semiHidden/>
    <w:unhideWhenUsed/>
    <w:qFormat/>
    <w:pPr>
      <w:outlineLvl w:val="4"/>
    </w:pPr>
    <w:rPr>
      <w:color w:val="2E74B5"/>
    </w:rPr>
  </w:style>
  <w:style w:type="paragraph" w:styleId="Titre6">
    <w:name w:val="heading 6"/>
    <w:uiPriority w:val="9"/>
    <w:semiHidden/>
    <w:unhideWhenUsed/>
    <w:qFormat/>
    <w:pPr>
      <w:outlineLvl w:val="5"/>
    </w:pPr>
    <w:rPr>
      <w:color w:val="1F4D7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uiPriority w:val="10"/>
    <w:qFormat/>
    <w:rPr>
      <w:sz w:val="56"/>
      <w:szCs w:val="56"/>
    </w:rPr>
  </w:style>
  <w:style w:type="paragraph" w:customStyle="1" w:styleId="lev1">
    <w:name w:val="Élevé1"/>
    <w:qFormat/>
    <w:rPr>
      <w:b/>
      <w:bCs/>
    </w:rPr>
  </w:style>
  <w:style w:type="paragraph" w:styleId="Paragraphedeliste">
    <w:name w:val="List Paragraph"/>
    <w:qFormat/>
  </w:style>
  <w:style w:type="character" w:styleId="Lienhypertexte">
    <w:name w:val="Hyperlink"/>
    <w:uiPriority w:val="99"/>
    <w:unhideWhenUsed/>
    <w:rPr>
      <w:color w:val="0563C1"/>
      <w:u w:val="single"/>
    </w:rPr>
  </w:style>
  <w:style w:type="character" w:styleId="Appelnotedebasdep">
    <w:name w:val="footnote reference"/>
    <w:uiPriority w:val="99"/>
    <w:semiHidden/>
    <w:unhideWhenUsed/>
    <w:rPr>
      <w:vertAlign w:val="superscript"/>
    </w:rPr>
  </w:style>
  <w:style w:type="paragraph" w:styleId="Notedebasdepage">
    <w:name w:val="footnote text"/>
    <w:link w:val="NotedebasdepageCar"/>
    <w:uiPriority w:val="99"/>
    <w:semiHidden/>
    <w:unhideWhenUsed/>
    <w:rPr>
      <w:sz w:val="20"/>
      <w:szCs w:val="20"/>
    </w:rPr>
  </w:style>
  <w:style w:type="character" w:customStyle="1" w:styleId="NotedebasdepageCar">
    <w:name w:val="Note de bas de page Car"/>
    <w:link w:val="Notedebasdepage"/>
    <w:uiPriority w:val="99"/>
    <w:semiHidden/>
    <w:unhideWhenUsed/>
    <w:rPr>
      <w:sz w:val="20"/>
      <w:szCs w:val="20"/>
    </w:rPr>
  </w:style>
  <w:style w:type="character" w:styleId="Appeldenotedefin">
    <w:name w:val="endnote reference"/>
    <w:uiPriority w:val="99"/>
    <w:semiHidden/>
    <w:unhideWhenUsed/>
    <w:rPr>
      <w:vertAlign w:val="superscript"/>
    </w:rPr>
  </w:style>
  <w:style w:type="paragraph" w:styleId="Notedefin">
    <w:name w:val="endnote text"/>
    <w:link w:val="NotedefinCar"/>
    <w:uiPriority w:val="99"/>
    <w:semiHidden/>
    <w:unhideWhenUsed/>
    <w:rPr>
      <w:sz w:val="20"/>
      <w:szCs w:val="20"/>
    </w:rPr>
  </w:style>
  <w:style w:type="character" w:customStyle="1" w:styleId="NotedefinCar">
    <w:name w:val="Note de fin Car"/>
    <w:link w:val="Notedefin"/>
    <w:uiPriority w:val="99"/>
    <w:semiHidden/>
    <w:unhideWhenUsed/>
    <w:rPr>
      <w:sz w:val="20"/>
      <w:szCs w:val="20"/>
    </w:rPr>
  </w:style>
  <w:style w:type="paragraph" w:styleId="En-tte">
    <w:name w:val="header"/>
    <w:basedOn w:val="Normal"/>
    <w:link w:val="En-tteCar"/>
    <w:uiPriority w:val="99"/>
    <w:unhideWhenUsed/>
    <w:rsid w:val="00C71892"/>
    <w:pPr>
      <w:tabs>
        <w:tab w:val="center" w:pos="4536"/>
        <w:tab w:val="right" w:pos="9072"/>
      </w:tabs>
    </w:pPr>
  </w:style>
  <w:style w:type="character" w:customStyle="1" w:styleId="En-tteCar">
    <w:name w:val="En-tête Car"/>
    <w:basedOn w:val="Policepardfaut"/>
    <w:link w:val="En-tte"/>
    <w:uiPriority w:val="99"/>
    <w:rsid w:val="00C71892"/>
  </w:style>
  <w:style w:type="paragraph" w:styleId="Pieddepage">
    <w:name w:val="footer"/>
    <w:basedOn w:val="Normal"/>
    <w:link w:val="PieddepageCar"/>
    <w:uiPriority w:val="99"/>
    <w:unhideWhenUsed/>
    <w:rsid w:val="00C71892"/>
    <w:pPr>
      <w:tabs>
        <w:tab w:val="center" w:pos="4536"/>
        <w:tab w:val="right" w:pos="9072"/>
      </w:tabs>
    </w:pPr>
  </w:style>
  <w:style w:type="character" w:customStyle="1" w:styleId="PieddepageCar">
    <w:name w:val="Pied de page Car"/>
    <w:basedOn w:val="Policepardfaut"/>
    <w:link w:val="Pieddepage"/>
    <w:uiPriority w:val="99"/>
    <w:rsid w:val="00C718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1911</Words>
  <Characters>10511</Characters>
  <Application>Microsoft Office Word</Application>
  <DocSecurity>0</DocSecurity>
  <Lines>87</Lines>
  <Paragraphs>24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CANIAUX Romain</cp:lastModifiedBy>
  <cp:revision>2</cp:revision>
  <dcterms:created xsi:type="dcterms:W3CDTF">2026-06-28T16:04:00Z</dcterms:created>
  <dcterms:modified xsi:type="dcterms:W3CDTF">2026-06-28T16:04:00Z</dcterms:modified>
</cp:coreProperties>
</file>